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05" w:rsidRDefault="00756D05" w:rsidP="00756D0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303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2D538D" w:rsidP="00B9352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Works and City Council</w:t>
            </w:r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2D538D" w:rsidP="002D538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Michael </w:t>
                </w:r>
                <w:proofErr w:type="spellStart"/>
                <w:r>
                  <w:rPr>
                    <w:rStyle w:val="Style1"/>
                  </w:rPr>
                  <w:t>Strelic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2D538D" w:rsidP="002D538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Councilwoman Deborah Gross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2D538D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2D538D" w:rsidP="002D538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A capital budget amendment, splitting the 2009 “</w:t>
          </w:r>
          <w:proofErr w:type="spellStart"/>
          <w:r>
            <w:rPr>
              <w:sz w:val="24"/>
              <w:szCs w:val="24"/>
            </w:rPr>
            <w:t>Cityfarms</w:t>
          </w:r>
          <w:proofErr w:type="spellEnd"/>
          <w:r>
            <w:rPr>
              <w:sz w:val="24"/>
              <w:szCs w:val="24"/>
            </w:rPr>
            <w:t xml:space="preserve">” account from Brookline only to both Brookline and District 7.  Some Brookline </w:t>
          </w:r>
          <w:proofErr w:type="spellStart"/>
          <w:r>
            <w:rPr>
              <w:sz w:val="24"/>
              <w:szCs w:val="24"/>
            </w:rPr>
            <w:t>Cityfarms</w:t>
          </w:r>
          <w:proofErr w:type="spellEnd"/>
          <w:r>
            <w:rPr>
              <w:sz w:val="24"/>
              <w:szCs w:val="24"/>
            </w:rPr>
            <w:t xml:space="preserve"> expenditures may have hit another </w:t>
          </w:r>
          <w:proofErr w:type="spellStart"/>
          <w:r>
            <w:rPr>
              <w:sz w:val="24"/>
              <w:szCs w:val="24"/>
            </w:rPr>
            <w:t>Cityfarms</w:t>
          </w:r>
          <w:proofErr w:type="spellEnd"/>
          <w:r>
            <w:rPr>
              <w:sz w:val="24"/>
              <w:szCs w:val="24"/>
            </w:rPr>
            <w:t xml:space="preserve"> account from the 2012 capital budget that should have been reserved for District 7.  This resolution allows District 7 </w:t>
          </w:r>
          <w:proofErr w:type="spellStart"/>
          <w:r>
            <w:rPr>
              <w:sz w:val="24"/>
              <w:szCs w:val="24"/>
            </w:rPr>
            <w:t>Cityfarms</w:t>
          </w:r>
          <w:proofErr w:type="spellEnd"/>
          <w:r>
            <w:rPr>
              <w:sz w:val="24"/>
              <w:szCs w:val="24"/>
            </w:rPr>
            <w:t xml:space="preserve"> to make itself “whole” by allowing expenditures from an account that was previously Brookline-only.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2D538D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2D538D">
                  <w:rPr>
                    <w:sz w:val="24"/>
                    <w:szCs w:val="24"/>
                  </w:rPr>
                  <w:t>25000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2D53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2D538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2D538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2D538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2D53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2D53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2D53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2D53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2D538D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</w:rPr>
        </w:sdtEndPr>
        <w:sdtContent>
          <w:r w:rsidRPr="002D538D">
            <w:rPr>
              <w:rStyle w:val="Style1"/>
              <w:szCs w:val="24"/>
            </w:rPr>
            <w:t xml:space="preserve">Fund 40001: Capital, </w:t>
          </w:r>
          <w:proofErr w:type="spellStart"/>
          <w:r w:rsidRPr="002D538D">
            <w:rPr>
              <w:rStyle w:val="Style1"/>
              <w:szCs w:val="24"/>
            </w:rPr>
            <w:t>PayGo</w:t>
          </w:r>
          <w:proofErr w:type="spellEnd"/>
          <w:r w:rsidRPr="002D538D">
            <w:rPr>
              <w:rStyle w:val="Style1"/>
              <w:szCs w:val="24"/>
            </w:rPr>
            <w:br/>
          </w:r>
          <w:r w:rsidRPr="002D538D">
            <w:rPr>
              <w:sz w:val="24"/>
              <w:szCs w:val="24"/>
            </w:rPr>
            <w:t>Job 455000209 minus $25,000</w:t>
          </w:r>
          <w:r w:rsidRPr="002D538D">
            <w:rPr>
              <w:sz w:val="24"/>
              <w:szCs w:val="24"/>
            </w:rPr>
            <w:br/>
            <w:t>Job 450000309 created, with $25,000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2D538D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Staff time will be needed to manage vendor contracts. 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2D538D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2D538D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2D538D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2D538D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2D538D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7E49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D538D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A61A3"/>
    <w:rsid w:val="004C0273"/>
    <w:rsid w:val="004C304A"/>
    <w:rsid w:val="004C5794"/>
    <w:rsid w:val="004D34D3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16013"/>
    <w:rsid w:val="00726132"/>
    <w:rsid w:val="00733AF3"/>
    <w:rsid w:val="00756D05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3525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3E55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57FAA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6DD88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33EE4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5D1F-4715-4646-A249-A75D4B14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Strelic, Michael</cp:lastModifiedBy>
  <cp:revision>3</cp:revision>
  <cp:lastPrinted>2016-06-13T16:46:00Z</cp:lastPrinted>
  <dcterms:created xsi:type="dcterms:W3CDTF">2021-04-16T20:18:00Z</dcterms:created>
  <dcterms:modified xsi:type="dcterms:W3CDTF">2021-04-16T20:21:00Z</dcterms:modified>
</cp:coreProperties>
</file>