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0F4F6" w14:textId="667D97B4" w:rsidR="00C92FD4" w:rsidRDefault="00C92FD4" w:rsidP="00C92FD4">
      <w:pPr>
        <w:rPr>
          <w:b/>
          <w:sz w:val="24"/>
          <w:szCs w:val="24"/>
        </w:rPr>
      </w:pPr>
      <w:r>
        <w:rPr>
          <w:b/>
          <w:sz w:val="24"/>
          <w:szCs w:val="24"/>
        </w:rPr>
        <w:t>501</w:t>
      </w:r>
    </w:p>
    <w:p w14:paraId="15A9F9D1" w14:textId="7E3C7993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34E1839E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4A83232F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5C50282C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23E9934C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52C4A08D" w14:textId="77777777" w:rsidR="0026028D" w:rsidRPr="00A11267" w:rsidRDefault="00FA34F8" w:rsidP="00FA34F8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Innovation &amp; Performance</w:t>
                </w:r>
              </w:p>
            </w:tc>
          </w:sdtContent>
        </w:sdt>
      </w:tr>
      <w:tr w:rsidR="003C3771" w:rsidRPr="00950428" w14:paraId="083D1667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0A220FDB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7C6FF4D" w14:textId="77777777" w:rsidR="003C3771" w:rsidRDefault="00FA34F8" w:rsidP="00FA34F8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Dolly Bellhouse &amp; Chris Belasco</w:t>
                </w:r>
              </w:p>
            </w:tc>
          </w:sdtContent>
        </w:sdt>
      </w:tr>
      <w:tr w:rsidR="0026028D" w:rsidRPr="00950428" w14:paraId="382207D7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2A911056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1A2C7F72" w14:textId="77777777" w:rsidR="0026028D" w:rsidRPr="00C24F39" w:rsidRDefault="00FA34F8" w:rsidP="00FA34F8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Chris Belasco</w:t>
                </w:r>
              </w:p>
            </w:tc>
          </w:sdtContent>
        </w:sdt>
      </w:tr>
      <w:tr w:rsidR="0026028D" w:rsidRPr="00950428" w14:paraId="5A3DD2AF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0C938B44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1352601C" w14:textId="77777777" w:rsidR="0026028D" w:rsidRPr="00950428" w:rsidRDefault="00FA34F8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10C86C7A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3F6432F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ascii="Arial" w:hAnsi="Arial" w:cs="Arial"/>
          <w:color w:val="000000"/>
          <w:sz w:val="22"/>
          <w:szCs w:val="22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497C4B20" w14:textId="77777777" w:rsidR="003F6BD7" w:rsidRPr="00950428" w:rsidRDefault="00377195" w:rsidP="00FA34F8">
          <w:pPr>
            <w:rPr>
              <w:sz w:val="24"/>
              <w:szCs w:val="24"/>
            </w:rPr>
          </w:pPr>
          <w:r w:rsidRPr="00FA34F8">
            <w:rPr>
              <w:rFonts w:ascii="Arial" w:hAnsi="Arial" w:cs="Arial"/>
              <w:color w:val="000000"/>
              <w:sz w:val="22"/>
              <w:szCs w:val="22"/>
            </w:rPr>
            <w:t>This project request is to work with experts from the Johns Hopkins University Center for Government Excellence (</w:t>
          </w:r>
          <w:proofErr w:type="spellStart"/>
          <w:r w:rsidRPr="00FA34F8">
            <w:rPr>
              <w:rFonts w:ascii="Arial" w:hAnsi="Arial" w:cs="Arial"/>
              <w:color w:val="000000"/>
              <w:sz w:val="22"/>
              <w:szCs w:val="22"/>
            </w:rPr>
            <w:t>GovEx</w:t>
          </w:r>
          <w:proofErr w:type="spellEnd"/>
          <w:r w:rsidRPr="00FA34F8">
            <w:rPr>
              <w:rFonts w:ascii="Arial" w:hAnsi="Arial" w:cs="Arial"/>
              <w:color w:val="000000"/>
              <w:sz w:val="22"/>
              <w:szCs w:val="22"/>
            </w:rPr>
            <w:t xml:space="preserve">) to elevate data governance practice across the City. Data Governance is defined as the exercise of authority and control (planning, monitoring, and enforcement) over the management of data assets. </w:t>
          </w:r>
          <w:r>
            <w:rPr>
              <w:rFonts w:ascii="Arial" w:hAnsi="Arial" w:cs="Arial"/>
              <w:color w:val="000000"/>
              <w:sz w:val="22"/>
              <w:szCs w:val="22"/>
            </w:rPr>
            <w:br/>
          </w:r>
          <w:r w:rsidRPr="00FA34F8">
            <w:rPr>
              <w:rFonts w:ascii="Arial" w:hAnsi="Arial" w:cs="Arial"/>
              <w:color w:val="000000"/>
              <w:sz w:val="22"/>
              <w:szCs w:val="22"/>
            </w:rPr>
            <w:t xml:space="preserve">This project with </w:t>
          </w:r>
          <w:proofErr w:type="spellStart"/>
          <w:r w:rsidRPr="00FA34F8">
            <w:rPr>
              <w:rFonts w:ascii="Arial" w:hAnsi="Arial" w:cs="Arial"/>
              <w:color w:val="000000"/>
              <w:sz w:val="22"/>
              <w:szCs w:val="22"/>
            </w:rPr>
            <w:t>GovEx</w:t>
          </w:r>
          <w:proofErr w:type="spellEnd"/>
          <w:r w:rsidRPr="00FA34F8">
            <w:rPr>
              <w:rFonts w:ascii="Arial" w:hAnsi="Arial" w:cs="Arial"/>
              <w:color w:val="000000"/>
              <w:sz w:val="22"/>
              <w:szCs w:val="22"/>
            </w:rPr>
            <w:t xml:space="preserve"> will:</w:t>
          </w:r>
          <w:r>
            <w:rPr>
              <w:rFonts w:ascii="Arial" w:hAnsi="Arial" w:cs="Arial"/>
              <w:color w:val="000000"/>
              <w:sz w:val="22"/>
              <w:szCs w:val="22"/>
            </w:rPr>
            <w:br/>
          </w:r>
          <w:r w:rsidRPr="00FA34F8">
            <w:rPr>
              <w:rFonts w:ascii="Arial" w:hAnsi="Arial" w:cs="Arial"/>
              <w:color w:val="000000"/>
              <w:sz w:val="22"/>
              <w:szCs w:val="22"/>
            </w:rPr>
            <w:t xml:space="preserve">• build our ability to articulate a pathway to use data governance to lead to data-driven decision making. </w:t>
          </w:r>
          <w:r>
            <w:rPr>
              <w:rFonts w:ascii="Arial" w:hAnsi="Arial" w:cs="Arial"/>
              <w:color w:val="000000"/>
              <w:sz w:val="22"/>
              <w:szCs w:val="22"/>
            </w:rPr>
            <w:br/>
          </w:r>
          <w:r w:rsidRPr="00FA34F8">
            <w:rPr>
              <w:rFonts w:ascii="Arial" w:hAnsi="Arial" w:cs="Arial"/>
              <w:color w:val="000000"/>
              <w:sz w:val="22"/>
              <w:szCs w:val="22"/>
            </w:rPr>
            <w:t xml:space="preserve">• introduce assessment frameworks and training tools recommended by </w:t>
          </w:r>
          <w:proofErr w:type="spellStart"/>
          <w:r w:rsidRPr="00FA34F8">
            <w:rPr>
              <w:rFonts w:ascii="Arial" w:hAnsi="Arial" w:cs="Arial"/>
              <w:color w:val="000000"/>
              <w:sz w:val="22"/>
              <w:szCs w:val="22"/>
            </w:rPr>
            <w:t>GovEx</w:t>
          </w:r>
          <w:proofErr w:type="spellEnd"/>
          <w:r w:rsidRPr="00FA34F8">
            <w:rPr>
              <w:rFonts w:ascii="Arial" w:hAnsi="Arial" w:cs="Arial"/>
              <w:color w:val="000000"/>
              <w:sz w:val="22"/>
              <w:szCs w:val="22"/>
            </w:rPr>
            <w:t xml:space="preserve"> partners. </w:t>
          </w:r>
          <w:r>
            <w:rPr>
              <w:rFonts w:ascii="Arial" w:hAnsi="Arial" w:cs="Arial"/>
              <w:color w:val="000000"/>
              <w:sz w:val="22"/>
              <w:szCs w:val="22"/>
            </w:rPr>
            <w:br/>
          </w:r>
          <w:r w:rsidRPr="00FA34F8">
            <w:rPr>
              <w:rFonts w:ascii="Arial" w:hAnsi="Arial" w:cs="Arial"/>
              <w:color w:val="000000"/>
              <w:sz w:val="22"/>
              <w:szCs w:val="22"/>
            </w:rPr>
            <w:t xml:space="preserve">• facilitate the Identification and development of data stewards and users in City departments. </w:t>
          </w:r>
          <w:r>
            <w:rPr>
              <w:rFonts w:ascii="Arial" w:hAnsi="Arial" w:cs="Arial"/>
              <w:color w:val="000000"/>
              <w:sz w:val="22"/>
              <w:szCs w:val="22"/>
            </w:rPr>
            <w:br/>
          </w:r>
          <w:r w:rsidRPr="00FA34F8">
            <w:rPr>
              <w:rFonts w:ascii="Arial" w:hAnsi="Arial" w:cs="Arial"/>
              <w:color w:val="000000"/>
              <w:sz w:val="22"/>
              <w:szCs w:val="22"/>
            </w:rPr>
            <w:t>• produce standards for consistency and reliability across City departments for data collection methods, data cleaning and organization, and products built as a result of data services provided (i.e. dashboards, visualizations, open data).</w:t>
          </w:r>
          <w:r>
            <w:rPr>
              <w:rFonts w:ascii="Arial" w:hAnsi="Arial" w:cs="Arial"/>
              <w:color w:val="000000"/>
              <w:sz w:val="22"/>
              <w:szCs w:val="22"/>
            </w:rPr>
            <w:br/>
          </w:r>
          <w:r w:rsidRPr="00EE6320">
            <w:rPr>
              <w:rFonts w:ascii="Arial" w:hAnsi="Arial" w:cs="Arial"/>
              <w:color w:val="000000"/>
              <w:sz w:val="22"/>
              <w:szCs w:val="22"/>
            </w:rPr>
            <w:t xml:space="preserve">We will work with </w:t>
          </w:r>
          <w:r>
            <w:rPr>
              <w:rFonts w:ascii="Arial" w:hAnsi="Arial" w:cs="Arial"/>
              <w:color w:val="000000"/>
              <w:sz w:val="22"/>
              <w:szCs w:val="22"/>
            </w:rPr>
            <w:t xml:space="preserve">Johns Hopkins University - </w:t>
          </w:r>
          <w:proofErr w:type="spellStart"/>
          <w:r w:rsidRPr="00EE6320">
            <w:rPr>
              <w:rFonts w:ascii="Arial" w:hAnsi="Arial" w:cs="Arial"/>
              <w:color w:val="000000"/>
              <w:sz w:val="22"/>
              <w:szCs w:val="22"/>
            </w:rPr>
            <w:t>GovEx</w:t>
          </w:r>
          <w:proofErr w:type="spellEnd"/>
          <w:r w:rsidRPr="00EE6320">
            <w:rPr>
              <w:rFonts w:ascii="Arial" w:hAnsi="Arial" w:cs="Arial"/>
              <w:color w:val="000000"/>
              <w:sz w:val="22"/>
              <w:szCs w:val="22"/>
            </w:rPr>
            <w:t xml:space="preserve"> via a no cost professional services agreement.</w:t>
          </w:r>
        </w:p>
      </w:sdtContent>
    </w:sdt>
    <w:p w14:paraId="405AD794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453FC720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780D1125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2857A41D" w14:textId="77777777" w:rsidR="00CB2BD7" w:rsidRPr="00950428" w:rsidRDefault="00FB41C1" w:rsidP="00377195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377195">
                  <w:rPr>
                    <w:sz w:val="24"/>
                    <w:szCs w:val="24"/>
                  </w:rPr>
                  <w:t>0.00</w:t>
                </w:r>
              </w:sdtContent>
            </w:sdt>
          </w:p>
        </w:tc>
      </w:tr>
      <w:tr w:rsidR="00EE4AE4" w:rsidRPr="00950428" w14:paraId="107E4CE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AC6E141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ABC5127" w14:textId="77777777" w:rsidR="00EE4AE4" w:rsidRPr="00950428" w:rsidRDefault="00C92FD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25823D81" w14:textId="77777777" w:rsidR="00EE4AE4" w:rsidRPr="00950428" w:rsidRDefault="00C92FD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3443C295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585978AF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7B77BCF1" w14:textId="77777777" w:rsidR="00EE4AE4" w:rsidRPr="00950428" w:rsidRDefault="00C92FD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3B9874EB" w14:textId="77777777" w:rsidR="00EE4AE4" w:rsidRPr="00950428" w:rsidRDefault="00C92FD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62CA2F84" w14:textId="77777777" w:rsidR="00EE4AE4" w:rsidRPr="00950428" w:rsidRDefault="00C92FD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018DB41F" w14:textId="77777777" w:rsidR="00EE4AE4" w:rsidRPr="00950428" w:rsidRDefault="00C92FD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5EEB8D08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268CA63F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7CD2953D" w14:textId="77777777" w:rsidR="00423263" w:rsidRPr="00950428" w:rsidRDefault="00C92FD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35B43F42" w14:textId="77777777" w:rsidR="00423263" w:rsidRPr="00950428" w:rsidRDefault="00C92FD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0D8E65BE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2AE1EAD7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37FAF227" w14:textId="77777777" w:rsidR="003F6BD7" w:rsidRPr="00A53982" w:rsidRDefault="00C92FD4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showingPlcHdr/>
          <w:text w:multiLine="1"/>
        </w:sdtPr>
        <w:sdtEndPr>
          <w:rPr>
            <w:rStyle w:val="DefaultParagraphFont"/>
            <w:sz w:val="20"/>
          </w:rPr>
        </w:sdtEndPr>
        <w:sdtContent>
          <w:r w:rsidR="00561396"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="00DF102E"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 w:rsidR="00DF102E"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="00DF102E"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 w:rsidR="00DF102E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 w:rsidR="00DF102E"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 w:rsidR="00BA212F"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 w:rsidR="00561396"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 w:rsidR="00561396">
            <w:rPr>
              <w:rStyle w:val="Style1"/>
              <w:color w:val="808080" w:themeColor="background1" w:themeShade="80"/>
              <w:szCs w:val="24"/>
            </w:rPr>
            <w:t>s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 w:rsidR="00561396"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="00561396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="00561396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="00561396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BA212F"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="00561396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="00561396"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 w:rsidR="00561396">
            <w:rPr>
              <w:color w:val="808080" w:themeColor="background1" w:themeShade="80"/>
              <w:sz w:val="24"/>
              <w:szCs w:val="24"/>
            </w:rPr>
            <w:t>/</w:t>
          </w:r>
          <w:r w:rsidR="00DF102E">
            <w:rPr>
              <w:color w:val="808080" w:themeColor="background1" w:themeShade="80"/>
              <w:sz w:val="24"/>
              <w:szCs w:val="24"/>
            </w:rPr>
            <w:t>Trust Fund/</w:t>
          </w:r>
          <w:r w:rsidR="00561396">
            <w:rPr>
              <w:color w:val="808080" w:themeColor="background1" w:themeShade="80"/>
              <w:sz w:val="24"/>
              <w:szCs w:val="24"/>
            </w:rPr>
            <w:t>Grant</w:t>
          </w:r>
          <w:r w:rsidR="00561396" w:rsidRPr="00F10F76">
            <w:rPr>
              <w:color w:val="808080" w:themeColor="background1" w:themeShade="80"/>
              <w:sz w:val="24"/>
              <w:szCs w:val="24"/>
            </w:rPr>
            <w:t>:</w:t>
          </w:r>
          <w:r w:rsidR="00561396"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="00561396"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="00561396"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="00561396"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BA212F">
            <w:rPr>
              <w:color w:val="808080" w:themeColor="background1" w:themeShade="80"/>
              <w:sz w:val="24"/>
              <w:szCs w:val="24"/>
            </w:rPr>
            <w:t>Object Account</w:t>
          </w:r>
          <w:r w:rsidR="00561396"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561396"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="00561396"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sdtContent>
      </w:sdt>
    </w:p>
    <w:p w14:paraId="312896EA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D325330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EAE63E2" w14:textId="77777777" w:rsidR="003F6BD7" w:rsidRPr="00950428" w:rsidRDefault="00BA212F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any additional operating costs</w:t>
          </w:r>
          <w:r w:rsidR="00042791">
            <w:rPr>
              <w:rStyle w:val="PlaceholderText"/>
              <w:sz w:val="24"/>
              <w:szCs w:val="24"/>
            </w:rPr>
            <w:t>, including grant matches</w:t>
          </w:r>
          <w:r>
            <w:rPr>
              <w:rStyle w:val="PlaceholderText"/>
              <w:sz w:val="24"/>
              <w:szCs w:val="24"/>
            </w:rPr>
            <w:t>. For example, if a project will require additional staff time or resources for implementation, please describe</w:t>
          </w:r>
          <w:r w:rsidR="00561396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533A89ED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7CA251D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70FE7F1B" w14:textId="77777777" w:rsidR="00E90DD1" w:rsidRDefault="00377195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 xml:space="preserve">This project will not directly impact City revenues. However, as the City’s </w:t>
          </w:r>
          <w:r w:rsidR="009554EF">
            <w:rPr>
              <w:rStyle w:val="Style1"/>
            </w:rPr>
            <w:t>use of data continues to mature, efficiencies should emerge.</w:t>
          </w:r>
        </w:p>
      </w:sdtContent>
    </w:sdt>
    <w:p w14:paraId="6E5F2A23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53E08051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6A78A27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446BD522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77DC4075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45BF4AF2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57A1B0CE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7108A2AE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7355D0DD" w14:textId="77777777" w:rsidR="00BC1ECF" w:rsidRPr="00950428" w:rsidRDefault="00C92FD4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3E3A9E9A" w14:textId="77777777" w:rsidR="00BC1ECF" w:rsidRPr="00950428" w:rsidRDefault="00C92FD4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69E35E92" w14:textId="77777777" w:rsidR="005C2315" w:rsidRDefault="00C92FD4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52B00511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56AB03B9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9BAB9ED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B7BC49E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26329D45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EC8188F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D632480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3F7C3AC3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BE712C6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AC7F7CC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3479F3A0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4584028A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462318F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76143B73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01399867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9985101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36865F1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571B6D9C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248CB75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4DB21820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21E4753B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44546E8C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621D26A" w14:textId="77777777" w:rsidR="00C8728C" w:rsidRPr="00950428" w:rsidRDefault="00C92FD4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0A921962" w14:textId="77777777" w:rsidR="00C8728C" w:rsidRPr="00950428" w:rsidRDefault="00C92FD4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54722DDA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3B55E0BB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689B4C49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28CA6B01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7877E113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66F9E"/>
    <w:rsid w:val="00377195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554EF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1C89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92FD4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34F8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8880B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C573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571F-DCD5-4F06-BA1B-EF3E61D8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3</cp:revision>
  <cp:lastPrinted>2020-01-27T20:30:00Z</cp:lastPrinted>
  <dcterms:created xsi:type="dcterms:W3CDTF">2021-03-22T16:25:00Z</dcterms:created>
  <dcterms:modified xsi:type="dcterms:W3CDTF">2021-03-23T19:35:00Z</dcterms:modified>
</cp:coreProperties>
</file>