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BC3A7" w14:textId="7F090DEB" w:rsidR="00F475C1" w:rsidRDefault="00F475C1" w:rsidP="00F47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402</w:t>
      </w:r>
    </w:p>
    <w:p w14:paraId="178FDC62" w14:textId="5A27E7FD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3A4B2D98" w:rsidR="003C3771" w:rsidRDefault="00F37910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Sophia </w:t>
                </w:r>
                <w:proofErr w:type="spellStart"/>
                <w:r>
                  <w:rPr>
                    <w:rStyle w:val="Style1"/>
                  </w:rPr>
                  <w:t>Yarish</w:t>
                </w:r>
                <w:proofErr w:type="spellEnd"/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81A8ED3" w14:textId="62489B63" w:rsidR="0026028D" w:rsidRPr="00C24F39" w:rsidRDefault="00F37910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Karina Ricks / Jeffery Skalican</w:t>
                </w:r>
              </w:p>
            </w:tc>
          </w:sdtContent>
        </w:sdt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7C348487" w:rsidR="0026028D" w:rsidRPr="00950428" w:rsidRDefault="00F3791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bookmarkStart w:id="0" w:name="_Hlk57981287" w:displacedByCustomXml="next"/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665AA135" w14:textId="34B9372F" w:rsidR="003F6BD7" w:rsidRPr="00950428" w:rsidRDefault="00062B1C" w:rsidP="00CE5D4A">
          <w:pPr>
            <w:autoSpaceDE w:val="0"/>
            <w:autoSpaceDN w:val="0"/>
            <w:adjustRightInd w:val="0"/>
            <w:rPr>
              <w:sz w:val="24"/>
              <w:szCs w:val="24"/>
            </w:rPr>
          </w:pPr>
          <w:r w:rsidRPr="00062B1C">
            <w:rPr>
              <w:sz w:val="24"/>
              <w:szCs w:val="24"/>
            </w:rPr>
            <w:t>Resolution providing for a supplementary Agreement with Allegheny County for local costs associated with the 10th Street Bridge project, and providing for the payment of municipal incurred costs thereof, not to exceed Ninety</w:t>
          </w:r>
          <w:r w:rsidR="00732C49">
            <w:rPr>
              <w:sz w:val="24"/>
              <w:szCs w:val="24"/>
            </w:rPr>
            <w:t xml:space="preserve"> Eight Thousand One Hundred</w:t>
          </w:r>
          <w:bookmarkStart w:id="1" w:name="_GoBack"/>
          <w:bookmarkEnd w:id="1"/>
          <w:r w:rsidRPr="00062B1C">
            <w:rPr>
              <w:sz w:val="24"/>
              <w:szCs w:val="24"/>
            </w:rPr>
            <w:t xml:space="preserve"> Forty Four Dollars and Seventy Three Cents ($98,144.73).</w:t>
          </w:r>
        </w:p>
      </w:sdtContent>
    </w:sdt>
    <w:bookmarkEnd w:id="0" w:displacedByCustomXml="prev"/>
    <w:p w14:paraId="3DE754E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5B0EBED2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062B1C">
                  <w:rPr>
                    <w:sz w:val="24"/>
                    <w:szCs w:val="24"/>
                  </w:rPr>
                  <w:t>98,144.73</w:t>
                </w:r>
              </w:sdtContent>
            </w:sdt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2F417BA5" w:rsidR="00EE4AE4" w:rsidRPr="00950428" w:rsidRDefault="00732C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48E7528F" w:rsidR="00EE4AE4" w:rsidRPr="00950428" w:rsidRDefault="00732C4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732C4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3F2CEEBF" w:rsidR="00EE4AE4" w:rsidRPr="00950428" w:rsidRDefault="00732C4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77777777" w:rsidR="00EE4AE4" w:rsidRPr="00950428" w:rsidRDefault="00732C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732C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7A66C6BD" w:rsidR="00423263" w:rsidRPr="00950428" w:rsidRDefault="00732C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0E397F76" w:rsidR="00423263" w:rsidRPr="00950428" w:rsidRDefault="00732C4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432"/>
        <w:gridCol w:w="906"/>
        <w:gridCol w:w="1215"/>
        <w:gridCol w:w="1536"/>
        <w:gridCol w:w="1536"/>
        <w:gridCol w:w="1536"/>
        <w:gridCol w:w="1189"/>
      </w:tblGrid>
      <w:tr w:rsidR="00062B1C" w:rsidRPr="005A467C" w14:paraId="58415A98" w14:textId="77777777" w:rsidTr="000A453F">
        <w:trPr>
          <w:jc w:val="center"/>
        </w:trPr>
        <w:tc>
          <w:tcPr>
            <w:tcW w:w="1432" w:type="dxa"/>
          </w:tcPr>
          <w:p w14:paraId="79FE7D0D" w14:textId="77777777" w:rsidR="00062B1C" w:rsidRPr="005A467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67C">
              <w:rPr>
                <w:sz w:val="24"/>
                <w:szCs w:val="24"/>
              </w:rPr>
              <w:t>JDE JOB NO.</w:t>
            </w:r>
          </w:p>
        </w:tc>
        <w:tc>
          <w:tcPr>
            <w:tcW w:w="906" w:type="dxa"/>
          </w:tcPr>
          <w:p w14:paraId="33105D0D" w14:textId="77777777" w:rsidR="00062B1C" w:rsidRPr="005A467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67C">
              <w:rPr>
                <w:sz w:val="24"/>
                <w:szCs w:val="24"/>
              </w:rPr>
              <w:t>JDE FUND</w:t>
            </w:r>
          </w:p>
        </w:tc>
        <w:tc>
          <w:tcPr>
            <w:tcW w:w="1215" w:type="dxa"/>
          </w:tcPr>
          <w:p w14:paraId="15CE82FB" w14:textId="77777777" w:rsidR="00062B1C" w:rsidRPr="005A467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67C">
              <w:rPr>
                <w:sz w:val="24"/>
                <w:szCs w:val="24"/>
              </w:rPr>
              <w:t>BUDGET YEAR</w:t>
            </w:r>
          </w:p>
        </w:tc>
        <w:tc>
          <w:tcPr>
            <w:tcW w:w="1536" w:type="dxa"/>
          </w:tcPr>
          <w:p w14:paraId="2E83A70F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Encumbrance 51755</w:t>
            </w:r>
          </w:p>
        </w:tc>
        <w:tc>
          <w:tcPr>
            <w:tcW w:w="1536" w:type="dxa"/>
          </w:tcPr>
          <w:p w14:paraId="0BACB60E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Encumbrance 51755-1</w:t>
            </w:r>
          </w:p>
        </w:tc>
        <w:tc>
          <w:tcPr>
            <w:tcW w:w="1536" w:type="dxa"/>
          </w:tcPr>
          <w:p w14:paraId="7BD0F520" w14:textId="77777777" w:rsidR="00062B1C" w:rsidRPr="005A467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Encumbrance</w:t>
            </w:r>
          </w:p>
        </w:tc>
        <w:tc>
          <w:tcPr>
            <w:tcW w:w="1189" w:type="dxa"/>
          </w:tcPr>
          <w:p w14:paraId="1A58B5C1" w14:textId="77777777" w:rsidR="00062B1C" w:rsidRPr="005A467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67C">
              <w:rPr>
                <w:sz w:val="24"/>
                <w:szCs w:val="24"/>
              </w:rPr>
              <w:t>SOURCE</w:t>
            </w:r>
          </w:p>
        </w:tc>
      </w:tr>
      <w:tr w:rsidR="00062B1C" w:rsidRPr="005A467C" w14:paraId="35AECF4A" w14:textId="77777777" w:rsidTr="000A453F">
        <w:trPr>
          <w:jc w:val="center"/>
        </w:trPr>
        <w:tc>
          <w:tcPr>
            <w:tcW w:w="1432" w:type="dxa"/>
          </w:tcPr>
          <w:p w14:paraId="5E3D5CDF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4023101115</w:t>
            </w:r>
          </w:p>
        </w:tc>
        <w:tc>
          <w:tcPr>
            <w:tcW w:w="906" w:type="dxa"/>
          </w:tcPr>
          <w:p w14:paraId="7320C72D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17CE0DE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  <w:r w:rsidRPr="17CE0D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14:paraId="4B860654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36" w:type="dxa"/>
          </w:tcPr>
          <w:p w14:paraId="6FAD9D74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$56,000.00</w:t>
            </w:r>
          </w:p>
        </w:tc>
        <w:tc>
          <w:tcPr>
            <w:tcW w:w="1536" w:type="dxa"/>
          </w:tcPr>
          <w:p w14:paraId="727E5C48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  <w:tc>
          <w:tcPr>
            <w:tcW w:w="1536" w:type="dxa"/>
          </w:tcPr>
          <w:p w14:paraId="74A71AC8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EEA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56,000.00</w:t>
            </w:r>
          </w:p>
        </w:tc>
        <w:tc>
          <w:tcPr>
            <w:tcW w:w="1189" w:type="dxa"/>
          </w:tcPr>
          <w:p w14:paraId="49BB68C3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</w:t>
            </w:r>
          </w:p>
        </w:tc>
      </w:tr>
      <w:tr w:rsidR="00062B1C" w:rsidRPr="005A467C" w14:paraId="5E26FAC9" w14:textId="77777777" w:rsidTr="000A453F">
        <w:trPr>
          <w:jc w:val="center"/>
        </w:trPr>
        <w:tc>
          <w:tcPr>
            <w:tcW w:w="1432" w:type="dxa"/>
          </w:tcPr>
          <w:p w14:paraId="0E532A8B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4030092017</w:t>
            </w:r>
          </w:p>
        </w:tc>
        <w:tc>
          <w:tcPr>
            <w:tcW w:w="906" w:type="dxa"/>
          </w:tcPr>
          <w:p w14:paraId="2793D61D" w14:textId="77777777" w:rsidR="00062B1C" w:rsidRPr="17CE0DE6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40114</w:t>
            </w:r>
          </w:p>
        </w:tc>
        <w:tc>
          <w:tcPr>
            <w:tcW w:w="1215" w:type="dxa"/>
          </w:tcPr>
          <w:p w14:paraId="6D89D22D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</w:tcPr>
          <w:p w14:paraId="5B50F8AA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  <w:tc>
          <w:tcPr>
            <w:tcW w:w="1536" w:type="dxa"/>
          </w:tcPr>
          <w:p w14:paraId="4C607663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EEA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42,144.73</w:t>
            </w:r>
          </w:p>
        </w:tc>
        <w:tc>
          <w:tcPr>
            <w:tcW w:w="1536" w:type="dxa"/>
          </w:tcPr>
          <w:p w14:paraId="2BAA8BA2" w14:textId="77777777" w:rsidR="00062B1C" w:rsidRPr="00AE4EC9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EEA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42,144.73</w:t>
            </w:r>
          </w:p>
        </w:tc>
        <w:tc>
          <w:tcPr>
            <w:tcW w:w="1189" w:type="dxa"/>
          </w:tcPr>
          <w:p w14:paraId="48BB8D42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EEA">
              <w:rPr>
                <w:sz w:val="24"/>
                <w:szCs w:val="24"/>
              </w:rPr>
              <w:t>Bond</w:t>
            </w:r>
          </w:p>
        </w:tc>
      </w:tr>
      <w:tr w:rsidR="00062B1C" w:rsidRPr="005A467C" w14:paraId="2DB6A8E5" w14:textId="77777777" w:rsidTr="000A453F">
        <w:trPr>
          <w:jc w:val="center"/>
        </w:trPr>
        <w:tc>
          <w:tcPr>
            <w:tcW w:w="1432" w:type="dxa"/>
          </w:tcPr>
          <w:p w14:paraId="186FDABF" w14:textId="77777777" w:rsidR="00062B1C" w:rsidRPr="009103A6" w:rsidRDefault="00062B1C" w:rsidP="000A45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03A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06" w:type="dxa"/>
          </w:tcPr>
          <w:p w14:paraId="1627902E" w14:textId="77777777" w:rsidR="00062B1C" w:rsidRPr="009103A6" w:rsidRDefault="00062B1C" w:rsidP="000A45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14:paraId="06D2F06F" w14:textId="77777777" w:rsidR="00062B1C" w:rsidRPr="009103A6" w:rsidRDefault="00062B1C" w:rsidP="000A45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5E7CE2" w14:textId="77777777" w:rsidR="00062B1C" w:rsidRPr="009103A6" w:rsidRDefault="00062B1C" w:rsidP="000A45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E9CA88" w14:textId="77777777" w:rsidR="00062B1C" w:rsidRPr="009103A6" w:rsidRDefault="00062B1C" w:rsidP="000A45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0BBAD7" w14:textId="77777777" w:rsidR="00062B1C" w:rsidRPr="009103A6" w:rsidRDefault="00062B1C" w:rsidP="000A45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E4EC9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98,144.73</w:t>
            </w:r>
          </w:p>
        </w:tc>
        <w:tc>
          <w:tcPr>
            <w:tcW w:w="1189" w:type="dxa"/>
          </w:tcPr>
          <w:p w14:paraId="050BB8A1" w14:textId="77777777" w:rsidR="00062B1C" w:rsidRDefault="00062B1C" w:rsidP="000A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EB34A0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F2B2CAF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  <w:szCs w:val="24"/>
        </w:rPr>
        <w:id w:val="-1654900980"/>
        <w:placeholder>
          <w:docPart w:val="496FE51AC52C48C8A3AA99AD7AC023B4"/>
        </w:placeholder>
      </w:sdtPr>
      <w:sdtEndPr/>
      <w:sdtContent>
        <w:sdt>
          <w:sdtPr>
            <w:rPr>
              <w:rStyle w:val="Style1"/>
            </w:rPr>
            <w:id w:val="-36204995"/>
            <w:text w:multiLine="1"/>
          </w:sdtPr>
          <w:sdtEndPr>
            <w:rPr>
              <w:rStyle w:val="Style1"/>
            </w:rPr>
          </w:sdtEndPr>
          <w:sdtContent>
            <w:p w14:paraId="0BECAFB7" w14:textId="22E56005" w:rsidR="00CE5D4A" w:rsidRDefault="006F1B97" w:rsidP="00CE5D4A">
              <w:pPr>
                <w:autoSpaceDE w:val="0"/>
                <w:autoSpaceDN w:val="0"/>
                <w:adjustRightInd w:val="0"/>
                <w:rPr>
                  <w:rStyle w:val="Style1"/>
                </w:rPr>
              </w:pPr>
              <w:r>
                <w:rPr>
                  <w:rStyle w:val="Style1"/>
                </w:rPr>
                <w:t>N/A</w:t>
              </w:r>
            </w:p>
          </w:sdtContent>
        </w:sdt>
        <w:p w14:paraId="121DAC4A" w14:textId="77777777" w:rsidR="00CE5D4A" w:rsidRDefault="00CE5D4A" w:rsidP="00CE5D4A">
          <w:pPr>
            <w:autoSpaceDE w:val="0"/>
            <w:autoSpaceDN w:val="0"/>
            <w:adjustRightInd w:val="0"/>
            <w:rPr>
              <w:rStyle w:val="Style1"/>
            </w:rPr>
          </w:pPr>
        </w:p>
        <w:p w14:paraId="265DF604" w14:textId="17675E30" w:rsidR="00E90DD1" w:rsidRDefault="00732C49" w:rsidP="0026028D">
          <w:pPr>
            <w:autoSpaceDE w:val="0"/>
            <w:autoSpaceDN w:val="0"/>
            <w:adjustRightInd w:val="0"/>
            <w:rPr>
              <w:rStyle w:val="Style1"/>
            </w:rPr>
          </w:pPr>
        </w:p>
      </w:sdtContent>
    </w:sdt>
    <w:p w14:paraId="7DB3B30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1E7B02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05E2415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69B17F7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6F32C81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0D361C1E" w:rsidR="00BC1ECF" w:rsidRPr="00950428" w:rsidRDefault="00732C49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732C49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2AAF6022" w:rsidR="005C2315" w:rsidRDefault="00732C49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49E240F3" w14:textId="6FE16E08" w:rsidR="00EE3AFE" w:rsidRPr="00950428" w:rsidRDefault="00CE5D4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p w14:paraId="38F5499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p w14:paraId="6D0BE63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732C4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732C4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4037"/>
    <w:rsid w:val="00015D85"/>
    <w:rsid w:val="00017792"/>
    <w:rsid w:val="00020C2D"/>
    <w:rsid w:val="00026B0D"/>
    <w:rsid w:val="00042791"/>
    <w:rsid w:val="00046AC9"/>
    <w:rsid w:val="00056EC3"/>
    <w:rsid w:val="00062B1C"/>
    <w:rsid w:val="00091BF8"/>
    <w:rsid w:val="000941C2"/>
    <w:rsid w:val="000A248F"/>
    <w:rsid w:val="000A2967"/>
    <w:rsid w:val="000E4434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1802"/>
    <w:rsid w:val="00225554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E22CB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3147"/>
    <w:rsid w:val="003F6BD7"/>
    <w:rsid w:val="00406270"/>
    <w:rsid w:val="004067A5"/>
    <w:rsid w:val="004133CC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77FB5"/>
    <w:rsid w:val="00587292"/>
    <w:rsid w:val="005A6B2C"/>
    <w:rsid w:val="005B2463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6F1B97"/>
    <w:rsid w:val="00712E0D"/>
    <w:rsid w:val="00713488"/>
    <w:rsid w:val="00726132"/>
    <w:rsid w:val="00732C49"/>
    <w:rsid w:val="00733AF3"/>
    <w:rsid w:val="00745BB7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0509E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5484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E5D4A"/>
    <w:rsid w:val="00CF0819"/>
    <w:rsid w:val="00CF2A3C"/>
    <w:rsid w:val="00D07798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E4F89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910"/>
    <w:rsid w:val="00F37F24"/>
    <w:rsid w:val="00F475C1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uiPriority w:val="39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071CE4"/>
    <w:rsid w:val="0018696E"/>
    <w:rsid w:val="0019005E"/>
    <w:rsid w:val="001F4229"/>
    <w:rsid w:val="00211C79"/>
    <w:rsid w:val="00336D70"/>
    <w:rsid w:val="0048063B"/>
    <w:rsid w:val="004B264D"/>
    <w:rsid w:val="005357A8"/>
    <w:rsid w:val="005600B2"/>
    <w:rsid w:val="005633C2"/>
    <w:rsid w:val="00581E97"/>
    <w:rsid w:val="005C0174"/>
    <w:rsid w:val="005C35E8"/>
    <w:rsid w:val="005F3E12"/>
    <w:rsid w:val="00681EA0"/>
    <w:rsid w:val="006E160C"/>
    <w:rsid w:val="00711370"/>
    <w:rsid w:val="007767E5"/>
    <w:rsid w:val="00827F09"/>
    <w:rsid w:val="008315E0"/>
    <w:rsid w:val="008578E3"/>
    <w:rsid w:val="00870D32"/>
    <w:rsid w:val="008D6BCE"/>
    <w:rsid w:val="009440F1"/>
    <w:rsid w:val="00A67E49"/>
    <w:rsid w:val="00AB1F61"/>
    <w:rsid w:val="00AC1D9A"/>
    <w:rsid w:val="00AF794B"/>
    <w:rsid w:val="00B65462"/>
    <w:rsid w:val="00BE3CD2"/>
    <w:rsid w:val="00D23561"/>
    <w:rsid w:val="00D332BE"/>
    <w:rsid w:val="00DE55EC"/>
    <w:rsid w:val="00DF1898"/>
    <w:rsid w:val="00E80DA4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1" ma:contentTypeDescription="Create a new document." ma:contentTypeScope="" ma:versionID="b3bb1402d9da80d5dc92a1d96b233bbe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9138f81caa83c5a0cfb2c52e18d2b10c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798F-6E1B-4B86-951F-CDE23A962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03DEA-249C-45FF-BE21-A6479FF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81760-4901-4D54-B205-B08F399B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Coticchia, Brendan</cp:lastModifiedBy>
  <cp:revision>2</cp:revision>
  <cp:lastPrinted>2020-01-27T20:30:00Z</cp:lastPrinted>
  <dcterms:created xsi:type="dcterms:W3CDTF">2021-02-04T22:51:00Z</dcterms:created>
  <dcterms:modified xsi:type="dcterms:W3CDTF">2021-02-04T22:51:00Z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