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66FEB" w:rsidP="00166F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66FEB" w:rsidP="00166F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66FEB" w:rsidP="00166F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Jen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Olzinger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Bill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Urbanic</w:t>
                </w:r>
                <w:proofErr w:type="spellEnd"/>
                <w:r w:rsidR="00207B0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Kevin </w:t>
                </w:r>
                <w:proofErr w:type="spellStart"/>
                <w:r w:rsidR="00207B0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66FE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166FEB" w:rsidP="00166FE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resolution authorizes the City, as managed by the Procurement Division of the Office of Management and Budget, to piggy-back on other contracts, as authorized by state law.</w:t>
          </w:r>
          <w:r w:rsidR="0032527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Including Professional Services contracts.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166F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66F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E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252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32527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166FEB">
            <w:rPr>
              <w:rFonts w:ascii="Times New Roman" w:eastAsia="Times New Roman" w:hAnsi="Times New Roman" w:cs="Times New Roman"/>
              <w:sz w:val="24"/>
              <w:szCs w:val="24"/>
            </w:rPr>
            <w:t>There is no additional cost to piggy-back on other contracts, so there is no JDE Account for this legislation (unlike prior years, when the City paid the County to do purchasing and contracts).</w:t>
          </w:r>
          <w:r w:rsidR="00166F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166FE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All JDE Accounts, including Operating, Capital, Trust Funds, and Grants are eligible to use relevant piggy-backed contracts to purchase items.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166FE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City </w:t>
          </w:r>
          <w:r w:rsidR="00881AB2">
            <w:rPr>
              <w:rFonts w:ascii="Times New Roman" w:eastAsia="Times New Roman" w:hAnsi="Times New Roman" w:cs="Times New Roman"/>
              <w:sz w:val="24"/>
              <w:szCs w:val="20"/>
            </w:rPr>
            <w:t>should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save money.  No additional costs.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166FE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Savings are on expenditure end.  No impact to City Revenues.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166FE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List of </w:t>
      </w:r>
      <w:r w:rsidR="00520E3C">
        <w:rPr>
          <w:rFonts w:ascii="Times New Roman" w:eastAsia="Times New Roman" w:hAnsi="Times New Roman" w:cs="Times New Roman"/>
          <w:sz w:val="24"/>
          <w:szCs w:val="20"/>
        </w:rPr>
        <w:t>available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contracts available on the City’s </w:t>
      </w:r>
      <w:r w:rsidR="00C55A37">
        <w:rPr>
          <w:rFonts w:ascii="Times New Roman" w:eastAsia="Times New Roman" w:hAnsi="Times New Roman" w:cs="Times New Roman"/>
          <w:sz w:val="24"/>
          <w:szCs w:val="20"/>
        </w:rPr>
        <w:t xml:space="preserve">Scout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website.  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66FEB"/>
    <w:rsid w:val="00207B01"/>
    <w:rsid w:val="0022114C"/>
    <w:rsid w:val="00311E15"/>
    <w:rsid w:val="00325278"/>
    <w:rsid w:val="00520E3C"/>
    <w:rsid w:val="008076FC"/>
    <w:rsid w:val="00881AB2"/>
    <w:rsid w:val="00995793"/>
    <w:rsid w:val="00A5500E"/>
    <w:rsid w:val="00B447CB"/>
    <w:rsid w:val="00BF26B0"/>
    <w:rsid w:val="00C55A37"/>
    <w:rsid w:val="00CA1663"/>
    <w:rsid w:val="00E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C039"/>
  <w15:docId w15:val="{0F64C1A8-F399-4B05-A3D3-132F566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3</cp:revision>
  <dcterms:created xsi:type="dcterms:W3CDTF">2020-10-01T17:17:00Z</dcterms:created>
  <dcterms:modified xsi:type="dcterms:W3CDTF">2020-10-22T15:24:00Z</dcterms:modified>
</cp:coreProperties>
</file>