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B6DC1" w:rsidP="001B6DC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B6DC1" w:rsidP="001B6DC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B6DC1" w:rsidP="001B6DC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Director Lanier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C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1B6DC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1B6DC1" w:rsidP="001B6DC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Resolution 532 of 2018, effective July 31, 2018, authorized the Department of Finance to spend up to $200,000 supporting the implementation of the Land Bank in 2018.  A contract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was encumbered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 the 2018 Operating Budget, Dept. of Finance.  This amendment allows Finance to continue to spend that money out of that account in 2019.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1B6D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B6DC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Whatever is left in the original $200,000 contract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C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C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C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647A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1B6DC1" w:rsidRDefault="00647A2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1576964566"/>
          <w:text w:multiLine="1"/>
        </w:sdtPr>
        <w:sdtEndPr/>
        <w:sdtContent>
          <w:r w:rsidR="001B6DC1" w:rsidRPr="001B6DC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11101.107000.58.58101.2018</w:t>
          </w:r>
          <w:r w:rsidR="001B6DC1" w:rsidRPr="001B6DC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br/>
            <w:t>Note that there is no 2019 Operating Budget funding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1B6DC1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The funds in the contract not already expended, as per this resolution.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1B6DC1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no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immediate impact.  Long-term the Land Bank may increase City Revenue.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B6DC1"/>
    <w:rsid w:val="001C7DFA"/>
    <w:rsid w:val="004E2612"/>
    <w:rsid w:val="00647A2F"/>
    <w:rsid w:val="008076FC"/>
    <w:rsid w:val="00995793"/>
    <w:rsid w:val="009D23E9"/>
    <w:rsid w:val="00A5500E"/>
    <w:rsid w:val="00AA4943"/>
    <w:rsid w:val="00B150D5"/>
    <w:rsid w:val="00BF26B0"/>
    <w:rsid w:val="00C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3DE6C-F967-41C7-BAE1-333F6510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2019-02-05T14:37:00Z</dcterms:created>
  <dcterms:modified xsi:type="dcterms:W3CDTF">2019-02-05T14:37:00Z</dcterms:modified>
</cp:coreProperties>
</file>