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5D" w:rsidRDefault="00AD175D" w:rsidP="00AD1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220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 w:rsidP="00704F7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Office of Management </w:t>
                </w:r>
                <w:r w:rsidR="00704F7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Budget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7099A" w:rsidP="00A7099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Brendan Coticchia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F67C3" w:rsidP="00DF67C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Jennifer Presutti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A79D1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DE4B34">
            <w:rPr>
              <w:rFonts w:ascii="Times New Roman" w:eastAsia="Times New Roman" w:hAnsi="Times New Roman" w:cs="Times New Roman"/>
              <w:sz w:val="24"/>
              <w:szCs w:val="24"/>
            </w:rPr>
            <w:t>transfers $118,683.65 from inactive 2014 job numbers to the Demolition of Condemned Buildings and Street Resurfacing line items.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D17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AD175D" w:rsidP="00960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5026737814 RIVERVIEW COMMUNITY &amp; SENIOR CENTER: ($1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592.33)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1126738314 CULTURAL HERITAGE PLAN: ($359.06)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2526120014 FIREFIGHTING EQUIPMENT: ($141.2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2226200814 EMS EQUIPMENT: ($125.04)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2126749314 PUBLIC SAFETY RADIO REPLACEMENT: ($15.52)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0909323014 SUMMER YOUTH EMPLOYMENT PROGRAM: ($1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993.05)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4026748314 CITYWIDE STREET LIGHTS: ($2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976.48)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1126749814 SIGNAGE AND WAYFINDING: ($12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802.88)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4026729414 PROJECT MANAGEMENT SERVICES: ($22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187.19)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5067193140 SWIMMING POOL MAINTENANCE: ($76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490.9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2721001114 DEMOLITION OF CONDEMNED</w:t>
          </w:r>
          <w:r w:rsidR="003D308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BUILDINGS: +$20,005.56</w:t>
          </w:r>
          <w:r w:rsidR="003D308F">
            <w:rPr>
              <w:rFonts w:ascii="Times New Roman" w:eastAsia="Times New Roman" w:hAnsi="Times New Roman" w:cs="Times New Roman"/>
              <w:sz w:val="24"/>
              <w:szCs w:val="24"/>
            </w:rPr>
            <w:br/>
            <w:t>40239001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t>14 STREET RESURFACING: +$22,187.19</w:t>
          </w:r>
          <w:r w:rsid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  <w:t>2710011140 DEMOLITION OF CONDEMNED BUILDINGS: +$76,490.90</w:t>
          </w:r>
          <w:r w:rsidR="009607EB" w:rsidRPr="009607EB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A7099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E6AB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A79D1"/>
    <w:rsid w:val="002717FC"/>
    <w:rsid w:val="003D308F"/>
    <w:rsid w:val="003D4268"/>
    <w:rsid w:val="00492CFE"/>
    <w:rsid w:val="004F1272"/>
    <w:rsid w:val="006777BE"/>
    <w:rsid w:val="006F31B0"/>
    <w:rsid w:val="00704F77"/>
    <w:rsid w:val="00746B23"/>
    <w:rsid w:val="00746E14"/>
    <w:rsid w:val="007F22FF"/>
    <w:rsid w:val="008076FC"/>
    <w:rsid w:val="009607EB"/>
    <w:rsid w:val="00995793"/>
    <w:rsid w:val="00A7099A"/>
    <w:rsid w:val="00AD175D"/>
    <w:rsid w:val="00B61550"/>
    <w:rsid w:val="00BE526E"/>
    <w:rsid w:val="00BF26B0"/>
    <w:rsid w:val="00C072C4"/>
    <w:rsid w:val="00CE6AB7"/>
    <w:rsid w:val="00DE4B34"/>
    <w:rsid w:val="00D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E0581-1F66-476B-85B1-2133F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2017-03-24T14:34:00Z</cp:lastPrinted>
  <dcterms:created xsi:type="dcterms:W3CDTF">2018-07-13T14:38:00Z</dcterms:created>
  <dcterms:modified xsi:type="dcterms:W3CDTF">2018-07-13T15:11:00Z</dcterms:modified>
</cp:coreProperties>
</file>