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C8928" w14:textId="251AF4EE" w:rsidR="00BA349E" w:rsidRDefault="00BA349E" w:rsidP="00BA3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503</w:t>
      </w:r>
      <w:bookmarkStart w:id="0" w:name="_GoBack"/>
      <w:bookmarkEnd w:id="0"/>
    </w:p>
    <w:p w14:paraId="1C668C24" w14:textId="77777777" w:rsidR="00BA349E" w:rsidRDefault="00BA349E" w:rsidP="0026028D">
      <w:pPr>
        <w:jc w:val="center"/>
        <w:rPr>
          <w:b/>
          <w:sz w:val="24"/>
          <w:szCs w:val="24"/>
        </w:rPr>
      </w:pPr>
    </w:p>
    <w:p w14:paraId="6385B835" w14:textId="77777777"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385B836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14:paraId="6385B839" w14:textId="77777777" w:rsidTr="00AD12A8">
        <w:trPr>
          <w:trHeight w:val="315"/>
        </w:trPr>
        <w:tc>
          <w:tcPr>
            <w:tcW w:w="2880" w:type="dxa"/>
            <w:vAlign w:val="center"/>
          </w:tcPr>
          <w:p w14:paraId="6385B837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38" w14:textId="10534C91" w:rsidR="0026028D" w:rsidRPr="00A11267" w:rsidRDefault="001B73DF" w:rsidP="001B73D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6385B83C" w14:textId="77777777" w:rsidTr="00AD12A8">
        <w:trPr>
          <w:trHeight w:val="255"/>
        </w:trPr>
        <w:tc>
          <w:tcPr>
            <w:tcW w:w="2880" w:type="dxa"/>
            <w:vAlign w:val="center"/>
          </w:tcPr>
          <w:p w14:paraId="6385B83A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B" w14:textId="10F08837" w:rsidR="003C3771" w:rsidRDefault="00FE1C76" w:rsidP="00D2785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Behun</w:t>
                </w:r>
              </w:p>
            </w:tc>
          </w:sdtContent>
        </w:sdt>
      </w:tr>
      <w:tr w:rsidR="0026028D" w:rsidRPr="00950428" w14:paraId="6385B83F" w14:textId="77777777" w:rsidTr="00AD12A8">
        <w:trPr>
          <w:trHeight w:val="165"/>
        </w:trPr>
        <w:tc>
          <w:tcPr>
            <w:tcW w:w="2880" w:type="dxa"/>
            <w:vAlign w:val="center"/>
          </w:tcPr>
          <w:p w14:paraId="6385B83D" w14:textId="77777777"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E" w14:textId="2EBF0AAE" w:rsidR="0026028D" w:rsidRPr="00C24F39" w:rsidRDefault="00FE1C76" w:rsidP="00FE1C7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Jeffrey Skalican</w:t>
                </w:r>
              </w:p>
            </w:tc>
          </w:sdtContent>
        </w:sdt>
      </w:tr>
      <w:tr w:rsidR="003C3771" w:rsidRPr="00950428" w14:paraId="6385B843" w14:textId="77777777" w:rsidTr="00AD12A8">
        <w:trPr>
          <w:trHeight w:val="147"/>
        </w:trPr>
        <w:tc>
          <w:tcPr>
            <w:tcW w:w="2880" w:type="dxa"/>
            <w:vAlign w:val="center"/>
          </w:tcPr>
          <w:p w14:paraId="6385B840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14:paraId="6385B841" w14:textId="77777777" w:rsidR="003C3771" w:rsidRDefault="00BA349E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14:paraId="6385B842" w14:textId="77777777" w:rsidR="003C3771" w:rsidRDefault="00BA349E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14:paraId="6385B846" w14:textId="77777777" w:rsidTr="00AD12A8">
        <w:trPr>
          <w:trHeight w:val="300"/>
        </w:trPr>
        <w:tc>
          <w:tcPr>
            <w:tcW w:w="2880" w:type="dxa"/>
            <w:vAlign w:val="center"/>
          </w:tcPr>
          <w:p w14:paraId="6385B844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45" w14:textId="7EE675B8" w:rsidR="0026028D" w:rsidRPr="00950428" w:rsidRDefault="0048544C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Encumbrance</w:t>
                </w:r>
              </w:p>
            </w:tc>
          </w:sdtContent>
        </w:sdt>
      </w:tr>
    </w:tbl>
    <w:p w14:paraId="6385B847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48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8"/>
          <w:szCs w:val="28"/>
        </w:rPr>
        <w:id w:val="-1170251545"/>
        <w:lock w:val="sdtLocked"/>
        <w:text w:multiLine="1"/>
      </w:sdtPr>
      <w:sdtEndPr/>
      <w:sdtContent>
        <w:p w14:paraId="6385B849" w14:textId="45E1AC7E" w:rsidR="003F6BD7" w:rsidRPr="00950428" w:rsidRDefault="001A2B05" w:rsidP="005336AC">
          <w:pPr>
            <w:rPr>
              <w:sz w:val="24"/>
              <w:szCs w:val="24"/>
            </w:rPr>
          </w:pPr>
          <w:r w:rsidRPr="001A2B05">
            <w:rPr>
              <w:sz w:val="28"/>
              <w:szCs w:val="28"/>
            </w:rPr>
            <w:t xml:space="preserve">This resolution </w:t>
          </w:r>
          <w:r w:rsidR="00FE1C76">
            <w:rPr>
              <w:sz w:val="28"/>
              <w:szCs w:val="28"/>
            </w:rPr>
            <w:t xml:space="preserve">amends previous resolution </w:t>
          </w:r>
          <w:r w:rsidR="00734682">
            <w:rPr>
              <w:sz w:val="28"/>
              <w:szCs w:val="28"/>
            </w:rPr>
            <w:t>41</w:t>
          </w:r>
          <w:r w:rsidR="00F02701">
            <w:rPr>
              <w:sz w:val="28"/>
              <w:szCs w:val="28"/>
            </w:rPr>
            <w:t>4</w:t>
          </w:r>
          <w:r w:rsidR="00FE1C76">
            <w:rPr>
              <w:sz w:val="28"/>
              <w:szCs w:val="28"/>
            </w:rPr>
            <w:t xml:space="preserve"> of 2017, which </w:t>
          </w:r>
          <w:r w:rsidRPr="001A2B05">
            <w:rPr>
              <w:sz w:val="28"/>
              <w:szCs w:val="28"/>
            </w:rPr>
            <w:t>authorize</w:t>
          </w:r>
          <w:r w:rsidR="00FE1C76">
            <w:rPr>
              <w:sz w:val="28"/>
              <w:szCs w:val="28"/>
            </w:rPr>
            <w:t>d</w:t>
          </w:r>
          <w:r w:rsidRPr="001A2B05">
            <w:rPr>
              <w:sz w:val="28"/>
              <w:szCs w:val="28"/>
            </w:rPr>
            <w:t xml:space="preserve"> the City to enter into agreements for</w:t>
          </w:r>
          <w:r w:rsidR="00B4419E">
            <w:rPr>
              <w:sz w:val="28"/>
              <w:szCs w:val="28"/>
            </w:rPr>
            <w:t xml:space="preserve"> the purpose of receiving funds</w:t>
          </w:r>
          <w:r w:rsidRPr="001A2B05">
            <w:rPr>
              <w:sz w:val="28"/>
              <w:szCs w:val="28"/>
            </w:rPr>
            <w:t>, providing for the design, repairs, maintenance, improvements, emergencies and/or the purchase of materials, equipment and supplies in connection with PENN AVENUE RECONSTRUCTION, PHASE II PROJECT</w:t>
          </w:r>
          <w:r>
            <w:rPr>
              <w:sz w:val="28"/>
              <w:szCs w:val="28"/>
            </w:rPr>
            <w:t>.</w:t>
          </w:r>
          <w:r w:rsidRPr="001A2B05">
            <w:rPr>
              <w:sz w:val="28"/>
              <w:szCs w:val="28"/>
            </w:rPr>
            <w:br/>
          </w:r>
          <w:r w:rsidRPr="001A2B05">
            <w:rPr>
              <w:sz w:val="28"/>
              <w:szCs w:val="28"/>
            </w:rPr>
            <w:br/>
          </w:r>
          <w:r w:rsidR="00FE1C76">
            <w:rPr>
              <w:sz w:val="28"/>
              <w:szCs w:val="28"/>
            </w:rPr>
            <w:t>The nature of this amendment is to increase the authorized funding amount to $732,626.61.</w:t>
          </w:r>
          <w:r w:rsidRPr="001A2B05">
            <w:rPr>
              <w:sz w:val="28"/>
              <w:szCs w:val="28"/>
            </w:rPr>
            <w:t xml:space="preserve">  </w:t>
          </w:r>
          <w:r w:rsidRPr="001A2B05">
            <w:rPr>
              <w:sz w:val="28"/>
              <w:szCs w:val="28"/>
            </w:rPr>
            <w:br/>
          </w:r>
        </w:p>
      </w:sdtContent>
    </w:sdt>
    <w:p w14:paraId="6385B84A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14:paraId="6385B84D" w14:textId="77777777" w:rsidTr="00AD12A8">
        <w:trPr>
          <w:trHeight w:val="308"/>
        </w:trPr>
        <w:tc>
          <w:tcPr>
            <w:tcW w:w="2880" w:type="dxa"/>
            <w:vAlign w:val="center"/>
          </w:tcPr>
          <w:p w14:paraId="6385B84B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14:paraId="6385B84C" w14:textId="709F4063" w:rsidR="00CB2BD7" w:rsidRPr="00950428" w:rsidRDefault="00FB41C1" w:rsidP="00FE1C76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FE1C76">
                  <w:rPr>
                    <w:sz w:val="24"/>
                    <w:szCs w:val="24"/>
                  </w:rPr>
                  <w:t>732,626.61</w:t>
                </w:r>
              </w:sdtContent>
            </w:sdt>
          </w:p>
        </w:tc>
      </w:tr>
      <w:tr w:rsidR="00EE4AE4" w:rsidRPr="00950428" w14:paraId="6385B851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4E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14:paraId="6385B84F" w14:textId="53DF776A" w:rsidR="00EE4AE4" w:rsidRPr="00950428" w:rsidRDefault="00BA34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C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14:paraId="6385B850" w14:textId="56AAE40A" w:rsidR="00EE4AE4" w:rsidRPr="00950428" w:rsidRDefault="00BA349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C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385B857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2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14:paraId="6385B853" w14:textId="69EB6687" w:rsidR="00EE4AE4" w:rsidRPr="00950428" w:rsidRDefault="00BA349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14:paraId="6385B854" w14:textId="622C16B7" w:rsidR="00EE4AE4" w:rsidRPr="00950428" w:rsidRDefault="00BA349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C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14:paraId="6385B855" w14:textId="77777777" w:rsidR="00EE4AE4" w:rsidRPr="00950428" w:rsidRDefault="00BA34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14:paraId="6385B856" w14:textId="77777777" w:rsidR="00EE4AE4" w:rsidRPr="00950428" w:rsidRDefault="00BA34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385B85B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8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14:paraId="6385B859" w14:textId="4C3D7293" w:rsidR="00423263" w:rsidRPr="00950428" w:rsidRDefault="00BA34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0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14:paraId="6385B85A" w14:textId="6BE3B771" w:rsidR="00423263" w:rsidRPr="00950428" w:rsidRDefault="00BA34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385B85C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5D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385B85E" w14:textId="186D67DC" w:rsidR="003F6BD7" w:rsidRPr="00A53982" w:rsidRDefault="00BA349E" w:rsidP="00FE1C76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eastAsiaTheme="minorHAnsi"/>
            <w:sz w:val="24"/>
            <w:szCs w:val="24"/>
          </w:rPr>
          <w:id w:val="-1576964566"/>
          <w:text w:multiLine="1"/>
        </w:sdtPr>
        <w:sdtEndPr/>
        <w:sdtContent>
          <w:r w:rsidR="00FE1C76" w:rsidRPr="00FE1C76">
            <w:rPr>
              <w:rFonts w:eastAsiaTheme="minorHAnsi"/>
              <w:sz w:val="24"/>
              <w:szCs w:val="24"/>
            </w:rPr>
            <w:t>JDE JOB NO.</w:t>
          </w:r>
          <w:r w:rsidR="00FE1C76" w:rsidRPr="00FE1C76">
            <w:rPr>
              <w:rFonts w:eastAsiaTheme="minorHAnsi"/>
              <w:sz w:val="24"/>
              <w:szCs w:val="24"/>
            </w:rPr>
            <w:tab/>
            <w:t>JDE FUND</w:t>
          </w:r>
          <w:r w:rsidR="00FE1C76" w:rsidRPr="00FE1C76">
            <w:rPr>
              <w:rFonts w:eastAsiaTheme="minorHAnsi"/>
              <w:sz w:val="24"/>
              <w:szCs w:val="24"/>
            </w:rPr>
            <w:tab/>
            <w:t>BUDGET YEAR</w:t>
          </w:r>
          <w:r w:rsidR="00FE1C76" w:rsidRPr="00FE1C76">
            <w:rPr>
              <w:rFonts w:eastAsiaTheme="minorHAnsi"/>
              <w:sz w:val="24"/>
              <w:szCs w:val="24"/>
            </w:rPr>
            <w:tab/>
            <w:t>AMOUNT</w:t>
          </w:r>
          <w:r w:rsidR="00FE1C76" w:rsidRPr="00FE1C76">
            <w:rPr>
              <w:rFonts w:eastAsiaTheme="minorHAnsi"/>
              <w:sz w:val="24"/>
              <w:szCs w:val="24"/>
            </w:rPr>
            <w:tab/>
            <w:t>SOURCE</w:t>
          </w:r>
          <w:r w:rsidR="00FE1C76">
            <w:rPr>
              <w:rFonts w:eastAsiaTheme="minorHAnsi"/>
              <w:sz w:val="24"/>
              <w:szCs w:val="24"/>
            </w:rPr>
            <w:br/>
            <w:t>4430100015</w:t>
          </w:r>
          <w:r w:rsidR="00FE1C76">
            <w:rPr>
              <w:rFonts w:eastAsiaTheme="minorHAnsi"/>
              <w:sz w:val="24"/>
              <w:szCs w:val="24"/>
            </w:rPr>
            <w:tab/>
            <w:t xml:space="preserve">40114              </w:t>
          </w:r>
          <w:r w:rsidR="00FE1C76">
            <w:rPr>
              <w:rFonts w:eastAsiaTheme="minorHAnsi"/>
              <w:sz w:val="24"/>
              <w:szCs w:val="24"/>
            </w:rPr>
            <w:tab/>
            <w:t>2015</w:t>
          </w:r>
          <w:r w:rsidR="00FE1C76">
            <w:rPr>
              <w:rFonts w:eastAsiaTheme="minorHAnsi"/>
              <w:sz w:val="24"/>
              <w:szCs w:val="24"/>
            </w:rPr>
            <w:tab/>
            <w:t xml:space="preserve">            </w:t>
          </w:r>
          <w:proofErr w:type="gramStart"/>
          <w:r w:rsidR="00FE1C76">
            <w:rPr>
              <w:rFonts w:eastAsiaTheme="minorHAnsi"/>
              <w:sz w:val="24"/>
              <w:szCs w:val="24"/>
            </w:rPr>
            <w:t>$  303</w:t>
          </w:r>
          <w:r w:rsidR="00FE1C76" w:rsidRPr="00FE1C76">
            <w:rPr>
              <w:rFonts w:eastAsiaTheme="minorHAnsi"/>
              <w:sz w:val="24"/>
              <w:szCs w:val="24"/>
            </w:rPr>
            <w:t>,</w:t>
          </w:r>
          <w:r w:rsidR="00FE1C76">
            <w:rPr>
              <w:rFonts w:eastAsiaTheme="minorHAnsi"/>
              <w:sz w:val="24"/>
              <w:szCs w:val="24"/>
            </w:rPr>
            <w:t>947</w:t>
          </w:r>
          <w:r w:rsidR="00FE1C76" w:rsidRPr="00FE1C76">
            <w:rPr>
              <w:rFonts w:eastAsiaTheme="minorHAnsi"/>
              <w:sz w:val="24"/>
              <w:szCs w:val="24"/>
            </w:rPr>
            <w:t>.</w:t>
          </w:r>
          <w:r w:rsidR="00FE1C76">
            <w:rPr>
              <w:rFonts w:eastAsiaTheme="minorHAnsi"/>
              <w:sz w:val="24"/>
              <w:szCs w:val="24"/>
            </w:rPr>
            <w:t>16</w:t>
          </w:r>
          <w:proofErr w:type="gramEnd"/>
          <w:r w:rsidR="00FE1C76" w:rsidRPr="00FE1C76">
            <w:rPr>
              <w:rFonts w:eastAsiaTheme="minorHAnsi"/>
              <w:sz w:val="24"/>
              <w:szCs w:val="24"/>
            </w:rPr>
            <w:tab/>
            <w:t>FHWA</w:t>
          </w:r>
          <w:r w:rsidR="00FE1C76">
            <w:rPr>
              <w:rFonts w:eastAsiaTheme="minorHAnsi"/>
              <w:sz w:val="24"/>
              <w:szCs w:val="24"/>
            </w:rPr>
            <w:br/>
            <w:t>4430100015</w:t>
          </w:r>
          <w:r w:rsidR="00FE1C76" w:rsidRPr="00FE1C76">
            <w:rPr>
              <w:rFonts w:eastAsiaTheme="minorHAnsi"/>
              <w:sz w:val="24"/>
              <w:szCs w:val="24"/>
            </w:rPr>
            <w:tab/>
            <w:t>401</w:t>
          </w:r>
          <w:r w:rsidR="00FE1C76">
            <w:rPr>
              <w:rFonts w:eastAsiaTheme="minorHAnsi"/>
              <w:sz w:val="24"/>
              <w:szCs w:val="24"/>
            </w:rPr>
            <w:t>14</w:t>
          </w:r>
          <w:r w:rsidR="00FE1C76">
            <w:rPr>
              <w:rFonts w:eastAsiaTheme="minorHAnsi"/>
              <w:sz w:val="24"/>
              <w:szCs w:val="24"/>
            </w:rPr>
            <w:tab/>
            <w:t xml:space="preserve">                        2015</w:t>
          </w:r>
          <w:r w:rsidR="00FE1C76" w:rsidRPr="00FE1C76">
            <w:rPr>
              <w:rFonts w:eastAsiaTheme="minorHAnsi"/>
              <w:sz w:val="24"/>
              <w:szCs w:val="24"/>
            </w:rPr>
            <w:t xml:space="preserve">   </w:t>
          </w:r>
          <w:r w:rsidR="00FE1C76">
            <w:rPr>
              <w:rFonts w:eastAsiaTheme="minorHAnsi"/>
              <w:sz w:val="24"/>
              <w:szCs w:val="24"/>
            </w:rPr>
            <w:t xml:space="preserve"> </w:t>
          </w:r>
          <w:r w:rsidR="00FE1C76">
            <w:rPr>
              <w:rFonts w:eastAsiaTheme="minorHAnsi"/>
              <w:sz w:val="24"/>
              <w:szCs w:val="24"/>
            </w:rPr>
            <w:tab/>
            <w:t>$    75,986.79</w:t>
          </w:r>
          <w:r w:rsidR="00FE1C76">
            <w:rPr>
              <w:rFonts w:eastAsiaTheme="minorHAnsi"/>
              <w:sz w:val="24"/>
              <w:szCs w:val="24"/>
            </w:rPr>
            <w:tab/>
            <w:t>BOND</w:t>
          </w:r>
          <w:r w:rsidR="00FE1C76">
            <w:rPr>
              <w:rFonts w:eastAsiaTheme="minorHAnsi"/>
              <w:sz w:val="24"/>
              <w:szCs w:val="24"/>
            </w:rPr>
            <w:br/>
          </w:r>
          <w:r w:rsidR="00FE1C76" w:rsidRPr="00FE1C76">
            <w:rPr>
              <w:rFonts w:eastAsiaTheme="minorHAnsi"/>
              <w:sz w:val="24"/>
              <w:szCs w:val="24"/>
            </w:rPr>
            <w:t>44301</w:t>
          </w:r>
          <w:r w:rsidR="00FE1C76">
            <w:rPr>
              <w:rFonts w:eastAsiaTheme="minorHAnsi"/>
              <w:sz w:val="24"/>
              <w:szCs w:val="24"/>
            </w:rPr>
            <w:t>00</w:t>
          </w:r>
          <w:r w:rsidR="00FE1C76" w:rsidRPr="00FE1C76">
            <w:rPr>
              <w:rFonts w:eastAsiaTheme="minorHAnsi"/>
              <w:sz w:val="24"/>
              <w:szCs w:val="24"/>
            </w:rPr>
            <w:t>01</w:t>
          </w:r>
          <w:r w:rsidR="00FE1C76">
            <w:rPr>
              <w:rFonts w:eastAsiaTheme="minorHAnsi"/>
              <w:sz w:val="24"/>
              <w:szCs w:val="24"/>
            </w:rPr>
            <w:t>6</w:t>
          </w:r>
          <w:r w:rsidR="00FE1C76" w:rsidRPr="00FE1C76">
            <w:rPr>
              <w:rFonts w:eastAsiaTheme="minorHAnsi"/>
              <w:sz w:val="24"/>
              <w:szCs w:val="24"/>
            </w:rPr>
            <w:tab/>
            <w:t xml:space="preserve">40114    </w:t>
          </w:r>
          <w:r w:rsidR="00FE1C76">
            <w:rPr>
              <w:rFonts w:eastAsiaTheme="minorHAnsi"/>
              <w:sz w:val="24"/>
              <w:szCs w:val="24"/>
            </w:rPr>
            <w:t xml:space="preserve">          </w:t>
          </w:r>
          <w:r w:rsidR="00FE1C76">
            <w:rPr>
              <w:rFonts w:eastAsiaTheme="minorHAnsi"/>
              <w:sz w:val="24"/>
              <w:szCs w:val="24"/>
            </w:rPr>
            <w:tab/>
            <w:t>2016</w:t>
          </w:r>
          <w:r w:rsidR="00FE1C76">
            <w:rPr>
              <w:rFonts w:eastAsiaTheme="minorHAnsi"/>
              <w:sz w:val="24"/>
              <w:szCs w:val="24"/>
            </w:rPr>
            <w:tab/>
            <w:t xml:space="preserve">            $  282,154.13</w:t>
          </w:r>
          <w:r w:rsidR="00FE1C76">
            <w:rPr>
              <w:rFonts w:eastAsiaTheme="minorHAnsi"/>
              <w:sz w:val="24"/>
              <w:szCs w:val="24"/>
            </w:rPr>
            <w:tab/>
            <w:t>FHWA</w:t>
          </w:r>
          <w:r w:rsidR="00FE1C76">
            <w:rPr>
              <w:rFonts w:eastAsiaTheme="minorHAnsi"/>
              <w:sz w:val="24"/>
              <w:szCs w:val="24"/>
            </w:rPr>
            <w:br/>
            <w:t>4430100016</w:t>
          </w:r>
          <w:r w:rsidR="00FE1C76" w:rsidRPr="00FE1C76">
            <w:rPr>
              <w:rFonts w:eastAsiaTheme="minorHAnsi"/>
              <w:sz w:val="24"/>
              <w:szCs w:val="24"/>
            </w:rPr>
            <w:tab/>
            <w:t>40</w:t>
          </w:r>
          <w:r w:rsidR="00FE1C76">
            <w:rPr>
              <w:rFonts w:eastAsiaTheme="minorHAnsi"/>
              <w:sz w:val="24"/>
              <w:szCs w:val="24"/>
            </w:rPr>
            <w:t>114</w:t>
          </w:r>
          <w:r w:rsidR="00FE1C76">
            <w:rPr>
              <w:rFonts w:eastAsiaTheme="minorHAnsi"/>
              <w:sz w:val="24"/>
              <w:szCs w:val="24"/>
            </w:rPr>
            <w:tab/>
            <w:t xml:space="preserve">                        2016      </w:t>
          </w:r>
          <w:r w:rsidR="00FE1C76">
            <w:rPr>
              <w:rFonts w:eastAsiaTheme="minorHAnsi"/>
              <w:sz w:val="24"/>
              <w:szCs w:val="24"/>
            </w:rPr>
            <w:tab/>
            <w:t>$   70,538.53</w:t>
          </w:r>
          <w:r w:rsidR="00FE1C76">
            <w:rPr>
              <w:rFonts w:eastAsiaTheme="minorHAnsi"/>
              <w:sz w:val="24"/>
              <w:szCs w:val="24"/>
            </w:rPr>
            <w:tab/>
            <w:t>BOND</w:t>
          </w:r>
          <w:r w:rsidR="00FE1C76">
            <w:rPr>
              <w:rFonts w:eastAsiaTheme="minorHAnsi"/>
              <w:sz w:val="24"/>
              <w:szCs w:val="24"/>
            </w:rPr>
            <w:br/>
          </w:r>
          <w:r w:rsidR="00FE1C76" w:rsidRPr="00FE1C76">
            <w:rPr>
              <w:rFonts w:eastAsiaTheme="minorHAnsi"/>
              <w:sz w:val="24"/>
              <w:szCs w:val="24"/>
            </w:rPr>
            <w:tab/>
          </w:r>
          <w:r w:rsidR="00FE1C76" w:rsidRPr="00FE1C76">
            <w:rPr>
              <w:rFonts w:eastAsiaTheme="minorHAnsi"/>
              <w:sz w:val="24"/>
              <w:szCs w:val="24"/>
            </w:rPr>
            <w:tab/>
          </w:r>
          <w:r w:rsidR="00FE1C76" w:rsidRPr="00FE1C76">
            <w:rPr>
              <w:rFonts w:eastAsiaTheme="minorHAnsi"/>
              <w:sz w:val="24"/>
              <w:szCs w:val="24"/>
            </w:rPr>
            <w:tab/>
            <w:t xml:space="preserve">         </w:t>
          </w:r>
          <w:r w:rsidR="00FE1C76">
            <w:rPr>
              <w:rFonts w:eastAsiaTheme="minorHAnsi"/>
              <w:sz w:val="24"/>
              <w:szCs w:val="24"/>
            </w:rPr>
            <w:t xml:space="preserve">                                                  $</w:t>
          </w:r>
          <w:r w:rsidR="00FE1C76" w:rsidRPr="00FE1C76">
            <w:rPr>
              <w:rFonts w:eastAsiaTheme="minorHAnsi"/>
              <w:sz w:val="24"/>
              <w:szCs w:val="24"/>
            </w:rPr>
            <w:t>7</w:t>
          </w:r>
          <w:r w:rsidR="00FE1C76">
            <w:rPr>
              <w:rFonts w:eastAsiaTheme="minorHAnsi"/>
              <w:sz w:val="24"/>
              <w:szCs w:val="24"/>
            </w:rPr>
            <w:t>32</w:t>
          </w:r>
          <w:r w:rsidR="00FE1C76" w:rsidRPr="00FE1C76">
            <w:rPr>
              <w:rFonts w:eastAsiaTheme="minorHAnsi"/>
              <w:sz w:val="24"/>
              <w:szCs w:val="24"/>
            </w:rPr>
            <w:t>,</w:t>
          </w:r>
          <w:r w:rsidR="00FE1C76">
            <w:rPr>
              <w:rFonts w:eastAsiaTheme="minorHAnsi"/>
              <w:sz w:val="24"/>
              <w:szCs w:val="24"/>
            </w:rPr>
            <w:t>626</w:t>
          </w:r>
          <w:r w:rsidR="00FE1C76" w:rsidRPr="00FE1C76">
            <w:rPr>
              <w:rFonts w:eastAsiaTheme="minorHAnsi"/>
              <w:sz w:val="24"/>
              <w:szCs w:val="24"/>
            </w:rPr>
            <w:t>.</w:t>
          </w:r>
          <w:r w:rsidR="00FE1C76">
            <w:rPr>
              <w:rFonts w:eastAsiaTheme="minorHAnsi"/>
              <w:sz w:val="24"/>
              <w:szCs w:val="24"/>
            </w:rPr>
            <w:t>61</w:t>
          </w:r>
        </w:sdtContent>
      </w:sdt>
    </w:p>
    <w:p w14:paraId="6385B85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0" w14:textId="77777777"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85B861" w14:textId="4C8C9B7C" w:rsidR="003F6BD7" w:rsidRPr="00950428" w:rsidRDefault="007B3CAE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NA</w:t>
          </w:r>
        </w:p>
      </w:sdtContent>
    </w:sdt>
    <w:p w14:paraId="6385B86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3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14:paraId="6385B864" w14:textId="429E19A3"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D42600">
            <w:rPr>
              <w:rStyle w:val="Style1"/>
            </w:rPr>
            <w:t>discernable nor immediate</w:t>
          </w:r>
          <w:r w:rsidR="00513012">
            <w:rPr>
              <w:rStyle w:val="Style1"/>
            </w:rPr>
            <w:t xml:space="preserve"> i</w:t>
          </w:r>
          <w:r>
            <w:rPr>
              <w:rStyle w:val="Style1"/>
            </w:rPr>
            <w:t>mpact</w:t>
          </w:r>
          <w:r w:rsidR="0046128C">
            <w:rPr>
              <w:rStyle w:val="Style1"/>
            </w:rPr>
            <w:t xml:space="preserve"> but </w:t>
          </w:r>
          <w:r w:rsidR="00D42600">
            <w:rPr>
              <w:rStyle w:val="Style1"/>
            </w:rPr>
            <w:t>City</w:t>
          </w:r>
          <w:r w:rsidR="007B3CAE">
            <w:rPr>
              <w:rStyle w:val="Style1"/>
            </w:rPr>
            <w:t xml:space="preserve"> </w:t>
          </w:r>
          <w:proofErr w:type="spellStart"/>
          <w:r w:rsidR="007B3CAE">
            <w:rPr>
              <w:rStyle w:val="Style1"/>
            </w:rPr>
            <w:t>maintanence</w:t>
          </w:r>
          <w:proofErr w:type="spellEnd"/>
          <w:r w:rsidR="007B3CAE">
            <w:rPr>
              <w:rStyle w:val="Style1"/>
            </w:rPr>
            <w:t xml:space="preserve"> costs will be cons</w:t>
          </w:r>
          <w:r w:rsidR="001A2B05">
            <w:rPr>
              <w:rStyle w:val="Style1"/>
            </w:rPr>
            <w:t>iderably lower due roadway upgrades.</w:t>
          </w:r>
        </w:p>
      </w:sdtContent>
    </w:sdt>
    <w:p w14:paraId="6385B86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385B866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385B867" w14:textId="77777777"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BA349E">
      <w:pgSz w:w="12240" w:h="15840" w:code="1"/>
      <w:pgMar w:top="72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3D69"/>
    <w:rsid w:val="001163E6"/>
    <w:rsid w:val="00143DFF"/>
    <w:rsid w:val="00152D56"/>
    <w:rsid w:val="0016273A"/>
    <w:rsid w:val="00166934"/>
    <w:rsid w:val="00181D41"/>
    <w:rsid w:val="001A2B05"/>
    <w:rsid w:val="001A7F64"/>
    <w:rsid w:val="001B232A"/>
    <w:rsid w:val="001B68EE"/>
    <w:rsid w:val="001B73DF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05DB"/>
    <w:rsid w:val="00296208"/>
    <w:rsid w:val="002B4699"/>
    <w:rsid w:val="002C2304"/>
    <w:rsid w:val="002F042C"/>
    <w:rsid w:val="00321212"/>
    <w:rsid w:val="00321263"/>
    <w:rsid w:val="003348A9"/>
    <w:rsid w:val="003433B1"/>
    <w:rsid w:val="0035379A"/>
    <w:rsid w:val="00357DD2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3CD1"/>
    <w:rsid w:val="00406270"/>
    <w:rsid w:val="004067A5"/>
    <w:rsid w:val="00423263"/>
    <w:rsid w:val="00426D62"/>
    <w:rsid w:val="004354C0"/>
    <w:rsid w:val="0045209B"/>
    <w:rsid w:val="0046128C"/>
    <w:rsid w:val="0046365E"/>
    <w:rsid w:val="00464E07"/>
    <w:rsid w:val="00474693"/>
    <w:rsid w:val="004776A2"/>
    <w:rsid w:val="0048326E"/>
    <w:rsid w:val="0048544C"/>
    <w:rsid w:val="00487C80"/>
    <w:rsid w:val="004A1B74"/>
    <w:rsid w:val="004C0273"/>
    <w:rsid w:val="004C304A"/>
    <w:rsid w:val="004C5794"/>
    <w:rsid w:val="004C77DC"/>
    <w:rsid w:val="004E0FC6"/>
    <w:rsid w:val="004F38D0"/>
    <w:rsid w:val="004F54FA"/>
    <w:rsid w:val="00513012"/>
    <w:rsid w:val="005336AC"/>
    <w:rsid w:val="00537D6D"/>
    <w:rsid w:val="00546B77"/>
    <w:rsid w:val="00556869"/>
    <w:rsid w:val="00561396"/>
    <w:rsid w:val="005A6B2C"/>
    <w:rsid w:val="005C4F67"/>
    <w:rsid w:val="005D2D2D"/>
    <w:rsid w:val="005E020E"/>
    <w:rsid w:val="005E137A"/>
    <w:rsid w:val="006142CB"/>
    <w:rsid w:val="00640F6E"/>
    <w:rsid w:val="0064171B"/>
    <w:rsid w:val="00645C12"/>
    <w:rsid w:val="00652E30"/>
    <w:rsid w:val="006C02FB"/>
    <w:rsid w:val="006C0E2C"/>
    <w:rsid w:val="00713488"/>
    <w:rsid w:val="0071614F"/>
    <w:rsid w:val="00726132"/>
    <w:rsid w:val="00733AF3"/>
    <w:rsid w:val="00734682"/>
    <w:rsid w:val="007702FA"/>
    <w:rsid w:val="007B1E56"/>
    <w:rsid w:val="007B3CAE"/>
    <w:rsid w:val="007B521D"/>
    <w:rsid w:val="007D5FC2"/>
    <w:rsid w:val="007D7F70"/>
    <w:rsid w:val="00801756"/>
    <w:rsid w:val="008266B7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874AF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4419E"/>
    <w:rsid w:val="00B66EE0"/>
    <w:rsid w:val="00B73C2D"/>
    <w:rsid w:val="00B94DEE"/>
    <w:rsid w:val="00B94F85"/>
    <w:rsid w:val="00BA0ECC"/>
    <w:rsid w:val="00BA349E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90950"/>
    <w:rsid w:val="00CB2BD7"/>
    <w:rsid w:val="00CB6C93"/>
    <w:rsid w:val="00CB798F"/>
    <w:rsid w:val="00CD56F7"/>
    <w:rsid w:val="00CE48BC"/>
    <w:rsid w:val="00CF0819"/>
    <w:rsid w:val="00CF2A3C"/>
    <w:rsid w:val="00CF6AC2"/>
    <w:rsid w:val="00D12422"/>
    <w:rsid w:val="00D12A16"/>
    <w:rsid w:val="00D16763"/>
    <w:rsid w:val="00D27854"/>
    <w:rsid w:val="00D42600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767"/>
    <w:rsid w:val="00E12D1B"/>
    <w:rsid w:val="00E27376"/>
    <w:rsid w:val="00E3140E"/>
    <w:rsid w:val="00E3659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02701"/>
    <w:rsid w:val="00F10F76"/>
    <w:rsid w:val="00F14B76"/>
    <w:rsid w:val="00F37F24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E1C7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5B835"/>
  <w15:docId w15:val="{14F2BB14-7AB6-4921-8A76-772CE51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1CDD"/>
    <w:rsid w:val="005357A8"/>
    <w:rsid w:val="005633C2"/>
    <w:rsid w:val="005C35E8"/>
    <w:rsid w:val="005F3E12"/>
    <w:rsid w:val="006E160C"/>
    <w:rsid w:val="00711370"/>
    <w:rsid w:val="007D58BE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5665-69BE-4544-8BC4-D08AB1CE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2</cp:revision>
  <cp:lastPrinted>2018-03-29T14:30:00Z</cp:lastPrinted>
  <dcterms:created xsi:type="dcterms:W3CDTF">2018-03-29T15:38:00Z</dcterms:created>
  <dcterms:modified xsi:type="dcterms:W3CDTF">2018-03-29T15:38:00Z</dcterms:modified>
</cp:coreProperties>
</file>