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C7C" w:rsidRDefault="00287C7C" w:rsidP="0010327D">
      <w:pPr>
        <w:rPr>
          <w:rStyle w:val="ms-bg-color-themelighter"/>
          <w:rFonts w:ascii="Calibri" w:eastAsia="Times New Roman" w:hAnsi="Calibri" w:cs="Segoe UI"/>
          <w:b/>
          <w:bCs/>
          <w:color w:val="000000"/>
        </w:rPr>
      </w:pPr>
      <w:bookmarkStart w:id="0" w:name="_GoBack"/>
      <w:bookmarkEnd w:id="0"/>
      <w:r>
        <w:rPr>
          <w:rStyle w:val="ms-bg-color-themelighter"/>
          <w:rFonts w:ascii="Calibri" w:eastAsia="Times New Roman" w:hAnsi="Calibri" w:cs="Segoe UI"/>
          <w:b/>
          <w:bCs/>
          <w:color w:val="000000"/>
        </w:rPr>
        <w:t>Equity Analysis Project – Draft Scope 11.22.17</w:t>
      </w:r>
    </w:p>
    <w:p w:rsidR="00287C7C" w:rsidRDefault="00287C7C" w:rsidP="0010327D">
      <w:pPr>
        <w:rPr>
          <w:rStyle w:val="ms-bg-color-themelighter"/>
          <w:rFonts w:ascii="Calibri" w:eastAsia="Times New Roman" w:hAnsi="Calibri" w:cs="Segoe UI"/>
          <w:b/>
          <w:bCs/>
          <w:color w:val="000000"/>
        </w:rPr>
      </w:pPr>
    </w:p>
    <w:p w:rsidR="0010327D" w:rsidRDefault="0010327D" w:rsidP="0010327D">
      <w:pPr>
        <w:rPr>
          <w:rFonts w:ascii="Segoe UI" w:eastAsia="Times New Roman" w:hAnsi="Segoe UI" w:cs="Segoe UI"/>
          <w:color w:val="212121"/>
          <w:sz w:val="23"/>
          <w:szCs w:val="23"/>
        </w:rPr>
      </w:pPr>
      <w:r>
        <w:rPr>
          <w:rStyle w:val="ms-bg-color-themelighter"/>
          <w:rFonts w:ascii="Calibri" w:eastAsia="Times New Roman" w:hAnsi="Calibri" w:cs="Segoe UI"/>
          <w:b/>
          <w:bCs/>
          <w:color w:val="000000"/>
        </w:rPr>
        <w:t>Background</w:t>
      </w:r>
    </w:p>
    <w:p w:rsidR="0010327D" w:rsidRDefault="0010327D" w:rsidP="0010327D">
      <w:pPr>
        <w:rPr>
          <w:rFonts w:ascii="Segoe UI" w:eastAsia="Times New Roman" w:hAnsi="Segoe UI" w:cs="Segoe UI"/>
          <w:color w:val="212121"/>
          <w:sz w:val="23"/>
          <w:szCs w:val="23"/>
        </w:rPr>
      </w:pPr>
    </w:p>
    <w:p w:rsidR="0010327D" w:rsidRDefault="0010327D" w:rsidP="0010327D">
      <w:pPr>
        <w:rPr>
          <w:rFonts w:ascii="Segoe UI" w:eastAsia="Times New Roman" w:hAnsi="Segoe UI" w:cs="Segoe UI"/>
          <w:color w:val="212121"/>
          <w:sz w:val="23"/>
          <w:szCs w:val="23"/>
        </w:rPr>
      </w:pPr>
      <w:r>
        <w:rPr>
          <w:rFonts w:ascii="Calibri" w:eastAsia="Times New Roman" w:hAnsi="Calibri" w:cs="Segoe UI"/>
          <w:color w:val="000000"/>
        </w:rPr>
        <w:t>The City contains 90 diverse neighborhoods with significant historical and present disparities.  In a financially constrained and resource-limited operating environment, it is critical to identify patterns of investment in order to deliver City services in a more equitable manner and in a way that produces positive outcomes in communities that are most structurally disadvantaged. </w:t>
      </w:r>
    </w:p>
    <w:p w:rsidR="0010327D" w:rsidRDefault="0010327D" w:rsidP="0010327D">
      <w:pPr>
        <w:rPr>
          <w:rFonts w:ascii="Segoe UI" w:eastAsia="Times New Roman" w:hAnsi="Segoe UI" w:cs="Segoe UI"/>
          <w:color w:val="212121"/>
          <w:sz w:val="23"/>
          <w:szCs w:val="23"/>
        </w:rPr>
      </w:pPr>
    </w:p>
    <w:p w:rsidR="0010327D" w:rsidRDefault="0010327D" w:rsidP="0010327D">
      <w:pPr>
        <w:rPr>
          <w:rFonts w:ascii="Segoe UI" w:eastAsia="Times New Roman" w:hAnsi="Segoe UI" w:cs="Segoe UI"/>
          <w:color w:val="212121"/>
          <w:sz w:val="23"/>
          <w:szCs w:val="23"/>
        </w:rPr>
      </w:pPr>
      <w:r>
        <w:rPr>
          <w:rFonts w:ascii="Calibri" w:eastAsia="Times New Roman" w:hAnsi="Calibri" w:cs="Segoe UI"/>
          <w:color w:val="000000"/>
        </w:rPr>
        <w:t>The City of Pittsburgh equity analysis would provide the Department of Mobility and Infrastructure the tools to ensure that investments made in by the department, ranging from routine maintenance to large capital projects, is done in a manner that promotes equitable outcomes for residents of the City and particularly responds to the needs of individuals whom the CDBG program is designed to serve.  The City intends to evaluate the relationship between investment decisions, particularly those resulting from resident service requests, to identify whether they are concentrated in areas of high economic and social mobility.  </w:t>
      </w:r>
    </w:p>
    <w:p w:rsidR="0010327D" w:rsidRDefault="0010327D" w:rsidP="0010327D">
      <w:pPr>
        <w:rPr>
          <w:rFonts w:ascii="Segoe UI" w:eastAsia="Times New Roman" w:hAnsi="Segoe UI" w:cs="Segoe UI"/>
          <w:color w:val="212121"/>
          <w:sz w:val="23"/>
          <w:szCs w:val="23"/>
        </w:rPr>
      </w:pPr>
      <w:r>
        <w:rPr>
          <w:rFonts w:ascii="Calibri" w:eastAsia="Times New Roman" w:hAnsi="Calibri" w:cs="Segoe UI"/>
          <w:color w:val="000000"/>
        </w:rPr>
        <w:t> </w:t>
      </w:r>
    </w:p>
    <w:p w:rsidR="0010327D" w:rsidRDefault="0010327D" w:rsidP="0010327D">
      <w:pPr>
        <w:rPr>
          <w:rFonts w:ascii="Segoe UI" w:eastAsia="Times New Roman" w:hAnsi="Segoe UI" w:cs="Segoe UI"/>
          <w:color w:val="212121"/>
          <w:sz w:val="23"/>
          <w:szCs w:val="23"/>
        </w:rPr>
      </w:pPr>
      <w:r>
        <w:rPr>
          <w:rFonts w:ascii="Calibri" w:eastAsia="Times New Roman" w:hAnsi="Calibri" w:cs="Segoe UI"/>
          <w:color w:val="000000"/>
        </w:rPr>
        <w:t>At the smallest possible geographic level, the equity analysis would identify demographic characteristics including race, income, zero-vehicle households, English proficiency, age, disability, single parent families, cost-burdened residences, and other characteristics. The analysis would design a methodology to produce a composite index of neighborhood need based on these criteria. </w:t>
      </w:r>
    </w:p>
    <w:p w:rsidR="0010327D" w:rsidRDefault="0010327D" w:rsidP="0010327D">
      <w:pPr>
        <w:rPr>
          <w:rFonts w:ascii="Segoe UI" w:eastAsia="Times New Roman" w:hAnsi="Segoe UI" w:cs="Segoe UI"/>
          <w:color w:val="212121"/>
          <w:sz w:val="23"/>
          <w:szCs w:val="23"/>
        </w:rPr>
      </w:pPr>
      <w:r>
        <w:rPr>
          <w:rFonts w:ascii="Calibri" w:eastAsia="Times New Roman" w:hAnsi="Calibri" w:cs="Segoe UI"/>
          <w:color w:val="000000"/>
        </w:rPr>
        <w:t> </w:t>
      </w:r>
    </w:p>
    <w:p w:rsidR="0010327D" w:rsidRDefault="0010327D" w:rsidP="0010327D">
      <w:pPr>
        <w:rPr>
          <w:rFonts w:ascii="Segoe UI" w:eastAsia="Times New Roman" w:hAnsi="Segoe UI" w:cs="Segoe UI"/>
          <w:color w:val="212121"/>
          <w:sz w:val="23"/>
          <w:szCs w:val="23"/>
        </w:rPr>
      </w:pPr>
      <w:r>
        <w:rPr>
          <w:rFonts w:ascii="Calibri" w:eastAsia="Times New Roman" w:hAnsi="Calibri" w:cs="Segoe UI"/>
          <w:color w:val="000000"/>
        </w:rPr>
        <w:t>Additionally, the analysis would review historical and future service requests, work orders, and capital spending to quantify the investment being made in those areas in the domain of mobility and infrastructure. The analysis would also provide recommendations on how to close the gap between community needs and the investment decisions being made.  This tool has broad applicability in the future spending of CDBG funding to ensure that resources supplement regular City investment and not supplant funding.</w:t>
      </w:r>
    </w:p>
    <w:p w:rsidR="0010327D" w:rsidRDefault="0010327D" w:rsidP="0010327D">
      <w:pPr>
        <w:rPr>
          <w:rFonts w:ascii="Segoe UI" w:eastAsia="Times New Roman" w:hAnsi="Segoe UI" w:cs="Segoe UI"/>
          <w:color w:val="212121"/>
          <w:sz w:val="23"/>
          <w:szCs w:val="23"/>
        </w:rPr>
      </w:pPr>
      <w:r>
        <w:rPr>
          <w:rFonts w:ascii="Calibri" w:eastAsia="Times New Roman" w:hAnsi="Calibri" w:cs="Segoe UI"/>
          <w:color w:val="000000"/>
        </w:rPr>
        <w:t> </w:t>
      </w:r>
    </w:p>
    <w:p w:rsidR="0010327D" w:rsidRDefault="0010327D" w:rsidP="0010327D">
      <w:pPr>
        <w:rPr>
          <w:rFonts w:ascii="Segoe UI" w:eastAsia="Times New Roman" w:hAnsi="Segoe UI" w:cs="Segoe UI"/>
          <w:color w:val="212121"/>
          <w:sz w:val="23"/>
          <w:szCs w:val="23"/>
        </w:rPr>
      </w:pPr>
      <w:r>
        <w:rPr>
          <w:rFonts w:ascii="Calibri" w:eastAsia="Times New Roman" w:hAnsi="Calibri" w:cs="Segoe UI"/>
          <w:color w:val="212121"/>
        </w:rPr>
        <w:t>The equity analysis would include both a visual model of needs and investments, as well as a searchable analytic tool that the City, stakeholders, and the public can use to evaluate future decision making. Any data generated through this project must be in a format appropriate for integration into the Western Pennsylvania Regional Data Center (</w:t>
      </w:r>
      <w:r>
        <w:rPr>
          <w:rFonts w:ascii="Calibri" w:eastAsia="Times New Roman" w:hAnsi="Calibri" w:cs="Segoe UI"/>
          <w:color w:val="212121"/>
          <w:sz w:val="23"/>
          <w:szCs w:val="23"/>
        </w:rPr>
        <w:t>preferably</w:t>
      </w:r>
      <w:r>
        <w:rPr>
          <w:rFonts w:ascii="Calibri" w:eastAsia="Times New Roman" w:hAnsi="Calibri" w:cs="Segoe UI"/>
          <w:color w:val="212121"/>
        </w:rPr>
        <w:t> .csv).</w:t>
      </w:r>
    </w:p>
    <w:p w:rsidR="0010327D" w:rsidRDefault="0010327D" w:rsidP="0010327D">
      <w:pPr>
        <w:rPr>
          <w:rFonts w:ascii="Segoe UI" w:eastAsia="Times New Roman" w:hAnsi="Segoe UI" w:cs="Segoe UI"/>
          <w:color w:val="212121"/>
          <w:sz w:val="23"/>
          <w:szCs w:val="23"/>
        </w:rPr>
      </w:pPr>
      <w:r>
        <w:rPr>
          <w:rFonts w:ascii="Calibri" w:eastAsia="Times New Roman" w:hAnsi="Calibri" w:cs="Segoe UI"/>
          <w:color w:val="000000"/>
        </w:rPr>
        <w:t> </w:t>
      </w:r>
    </w:p>
    <w:p w:rsidR="0010327D" w:rsidRDefault="0010327D" w:rsidP="0010327D">
      <w:pPr>
        <w:rPr>
          <w:rFonts w:ascii="Segoe UI" w:eastAsia="Times New Roman" w:hAnsi="Segoe UI" w:cs="Segoe UI"/>
          <w:color w:val="212121"/>
          <w:sz w:val="23"/>
          <w:szCs w:val="23"/>
        </w:rPr>
      </w:pPr>
    </w:p>
    <w:p w:rsidR="0010327D" w:rsidRDefault="0010327D" w:rsidP="0010327D">
      <w:pPr>
        <w:rPr>
          <w:rFonts w:ascii="Segoe UI" w:eastAsia="Times New Roman" w:hAnsi="Segoe UI" w:cs="Segoe UI"/>
          <w:color w:val="212121"/>
          <w:sz w:val="23"/>
          <w:szCs w:val="23"/>
        </w:rPr>
      </w:pPr>
      <w:r>
        <w:rPr>
          <w:rFonts w:ascii="Calibri" w:eastAsia="Times New Roman" w:hAnsi="Calibri" w:cs="Segoe UI"/>
          <w:b/>
          <w:bCs/>
          <w:color w:val="212121"/>
        </w:rPr>
        <w:t>Work Product</w:t>
      </w:r>
    </w:p>
    <w:p w:rsidR="0010327D" w:rsidRDefault="0010327D" w:rsidP="0010327D">
      <w:pPr>
        <w:rPr>
          <w:rFonts w:ascii="Segoe UI" w:eastAsia="Times New Roman" w:hAnsi="Segoe UI" w:cs="Segoe UI"/>
          <w:color w:val="212121"/>
          <w:sz w:val="23"/>
          <w:szCs w:val="23"/>
        </w:rPr>
      </w:pPr>
      <w:r>
        <w:rPr>
          <w:rFonts w:ascii="Calibri" w:eastAsia="Times New Roman" w:hAnsi="Calibri" w:cs="Segoe UI"/>
          <w:b/>
          <w:bCs/>
          <w:color w:val="212121"/>
        </w:rPr>
        <w:t> </w:t>
      </w:r>
    </w:p>
    <w:p w:rsidR="0010327D" w:rsidRDefault="0010327D" w:rsidP="0010327D">
      <w:pPr>
        <w:numPr>
          <w:ilvl w:val="0"/>
          <w:numId w:val="1"/>
        </w:numPr>
        <w:spacing w:before="100" w:beforeAutospacing="1" w:after="100" w:afterAutospacing="1"/>
        <w:rPr>
          <w:rFonts w:ascii="Calibri" w:eastAsia="Times New Roman" w:hAnsi="Calibri" w:cs="Segoe UI"/>
          <w:color w:val="212121"/>
        </w:rPr>
      </w:pPr>
      <w:r>
        <w:rPr>
          <w:rFonts w:ascii="Calibri" w:eastAsia="Times New Roman" w:hAnsi="Calibri" w:cs="Segoe UI"/>
          <w:color w:val="212121"/>
        </w:rPr>
        <w:t>Visual model and interactive map of neighborhood and sub-neighborhood demographic conditions and Department of Mobility and Infrastructure Investments, service requests, and work orders</w:t>
      </w:r>
    </w:p>
    <w:p w:rsidR="0010327D" w:rsidRDefault="0010327D" w:rsidP="0010327D">
      <w:pPr>
        <w:numPr>
          <w:ilvl w:val="0"/>
          <w:numId w:val="1"/>
        </w:numPr>
        <w:spacing w:before="100" w:beforeAutospacing="1" w:after="100" w:afterAutospacing="1"/>
        <w:rPr>
          <w:rFonts w:ascii="Calibri" w:eastAsia="Times New Roman" w:hAnsi="Calibri" w:cs="Segoe UI"/>
          <w:color w:val="212121"/>
        </w:rPr>
      </w:pPr>
      <w:r>
        <w:rPr>
          <w:rFonts w:ascii="Calibri" w:eastAsia="Times New Roman" w:hAnsi="Calibri" w:cs="Segoe UI"/>
          <w:color w:val="212121"/>
        </w:rPr>
        <w:lastRenderedPageBreak/>
        <w:t>Interactive tool to identify gaps between projected and actual service, service relative to neighborhood need, etc.</w:t>
      </w:r>
    </w:p>
    <w:p w:rsidR="0010327D" w:rsidRDefault="0010327D" w:rsidP="0010327D">
      <w:pPr>
        <w:numPr>
          <w:ilvl w:val="0"/>
          <w:numId w:val="1"/>
        </w:numPr>
        <w:spacing w:before="100" w:beforeAutospacing="1" w:after="100" w:afterAutospacing="1"/>
        <w:rPr>
          <w:rFonts w:ascii="Calibri" w:eastAsia="Times New Roman" w:hAnsi="Calibri" w:cs="Segoe UI"/>
          <w:color w:val="212121"/>
        </w:rPr>
      </w:pPr>
      <w:r>
        <w:rPr>
          <w:rFonts w:ascii="Calibri" w:eastAsia="Times New Roman" w:hAnsi="Calibri" w:cs="Segoe UI"/>
          <w:color w:val="212121"/>
        </w:rPr>
        <w:t>Report detailing findings of analysis, recommendations to ameliorate issues.</w:t>
      </w:r>
    </w:p>
    <w:p w:rsidR="0010327D" w:rsidRDefault="0010327D" w:rsidP="0010327D">
      <w:pPr>
        <w:numPr>
          <w:ilvl w:val="0"/>
          <w:numId w:val="1"/>
        </w:numPr>
        <w:spacing w:before="100" w:beforeAutospacing="1" w:after="100" w:afterAutospacing="1"/>
        <w:rPr>
          <w:rFonts w:ascii="Segoe UI" w:eastAsia="Times New Roman" w:hAnsi="Segoe UI" w:cs="Segoe UI"/>
          <w:color w:val="212121"/>
          <w:sz w:val="23"/>
          <w:szCs w:val="23"/>
        </w:rPr>
      </w:pPr>
      <w:r>
        <w:rPr>
          <w:rFonts w:ascii="Calibri" w:eastAsia="Times New Roman" w:hAnsi="Calibri" w:cs="Segoe UI"/>
          <w:color w:val="212121"/>
        </w:rPr>
        <w:t>Website and associated content- Provide a landing page to accessibly present tasks 1-3 to the general public</w:t>
      </w:r>
    </w:p>
    <w:p w:rsidR="0010327D" w:rsidRDefault="0010327D" w:rsidP="0010327D">
      <w:pPr>
        <w:rPr>
          <w:rFonts w:ascii="Calibri" w:eastAsia="Times New Roman" w:hAnsi="Calibri"/>
          <w:color w:val="000000"/>
        </w:rPr>
      </w:pPr>
    </w:p>
    <w:p w:rsidR="0010327D" w:rsidRDefault="0010327D" w:rsidP="0010327D">
      <w:pPr>
        <w:rPr>
          <w:rFonts w:ascii="Segoe UI" w:eastAsia="Times New Roman" w:hAnsi="Segoe UI" w:cs="Segoe UI"/>
          <w:color w:val="212121"/>
          <w:sz w:val="23"/>
          <w:szCs w:val="23"/>
        </w:rPr>
      </w:pPr>
      <w:r>
        <w:rPr>
          <w:rFonts w:ascii="Segoe UI" w:eastAsia="Times New Roman" w:hAnsi="Segoe UI" w:cs="Segoe UI"/>
          <w:color w:val="212121"/>
          <w:sz w:val="23"/>
          <w:szCs w:val="23"/>
        </w:rPr>
        <w:t> </w:t>
      </w:r>
    </w:p>
    <w:p w:rsidR="0010327D" w:rsidRDefault="0010327D" w:rsidP="0010327D">
      <w:pPr>
        <w:rPr>
          <w:rFonts w:ascii="Segoe UI" w:eastAsia="Times New Roman" w:hAnsi="Segoe UI" w:cs="Segoe UI"/>
          <w:color w:val="212121"/>
          <w:sz w:val="23"/>
          <w:szCs w:val="23"/>
        </w:rPr>
      </w:pPr>
    </w:p>
    <w:p w:rsidR="0010327D" w:rsidRDefault="0010327D" w:rsidP="0010327D">
      <w:pPr>
        <w:rPr>
          <w:rFonts w:ascii="Segoe UI" w:eastAsia="Times New Roman" w:hAnsi="Segoe UI" w:cs="Segoe UI"/>
          <w:color w:val="212121"/>
          <w:sz w:val="23"/>
          <w:szCs w:val="23"/>
        </w:rPr>
      </w:pPr>
      <w:r>
        <w:rPr>
          <w:rFonts w:ascii="Calibri" w:eastAsia="Times New Roman" w:hAnsi="Calibri" w:cs="Segoe UI"/>
          <w:b/>
          <w:bCs/>
          <w:color w:val="000000"/>
        </w:rPr>
        <w:t>Task List</w:t>
      </w:r>
    </w:p>
    <w:p w:rsidR="0010327D" w:rsidRDefault="0010327D" w:rsidP="0010327D">
      <w:pPr>
        <w:rPr>
          <w:rFonts w:ascii="Segoe UI" w:eastAsia="Times New Roman" w:hAnsi="Segoe UI" w:cs="Segoe UI"/>
          <w:color w:val="212121"/>
          <w:sz w:val="23"/>
          <w:szCs w:val="23"/>
        </w:rPr>
      </w:pPr>
      <w:r>
        <w:rPr>
          <w:rFonts w:ascii="Segoe UI" w:eastAsia="Times New Roman" w:hAnsi="Segoe UI" w:cs="Segoe UI"/>
          <w:color w:val="212121"/>
          <w:sz w:val="23"/>
          <w:szCs w:val="23"/>
        </w:rPr>
        <w:t> </w:t>
      </w:r>
    </w:p>
    <w:p w:rsidR="0010327D" w:rsidRDefault="0010327D" w:rsidP="0010327D">
      <w:pPr>
        <w:numPr>
          <w:ilvl w:val="0"/>
          <w:numId w:val="2"/>
        </w:numPr>
        <w:spacing w:before="100" w:beforeAutospacing="1" w:after="100" w:afterAutospacing="1"/>
        <w:rPr>
          <w:rFonts w:ascii="Segoe UI" w:eastAsia="Times New Roman" w:hAnsi="Segoe UI" w:cs="Segoe UI"/>
          <w:color w:val="212121"/>
          <w:sz w:val="23"/>
          <w:szCs w:val="23"/>
        </w:rPr>
      </w:pPr>
      <w:r>
        <w:rPr>
          <w:rFonts w:ascii="Calibri" w:eastAsia="Times New Roman" w:hAnsi="Calibri" w:cs="Segoe UI"/>
          <w:color w:val="212121"/>
          <w:sz w:val="23"/>
          <w:szCs w:val="23"/>
        </w:rPr>
        <w:t>Conduct Demographic Data Inventory- identify existing data sources necessary to produce a map of "neighborhood need" based on socio-economic conditions as identified by City and others identified by consultant.</w:t>
      </w:r>
    </w:p>
    <w:p w:rsidR="0010327D" w:rsidRDefault="0010327D" w:rsidP="0010327D">
      <w:pPr>
        <w:numPr>
          <w:ilvl w:val="0"/>
          <w:numId w:val="2"/>
        </w:numPr>
        <w:spacing w:before="100" w:beforeAutospacing="1" w:after="100" w:afterAutospacing="1"/>
        <w:rPr>
          <w:rFonts w:ascii="Segoe UI" w:eastAsia="Times New Roman" w:hAnsi="Segoe UI" w:cs="Segoe UI"/>
          <w:color w:val="212121"/>
          <w:sz w:val="23"/>
          <w:szCs w:val="23"/>
        </w:rPr>
      </w:pPr>
      <w:r>
        <w:rPr>
          <w:rFonts w:ascii="Calibri" w:eastAsia="Times New Roman" w:hAnsi="Calibri" w:cs="Segoe UI"/>
          <w:color w:val="212121"/>
          <w:sz w:val="23"/>
          <w:szCs w:val="23"/>
        </w:rPr>
        <w:t>Produce composite methodology- In consultation with City staff, identify blended composite index of "neighborhood need" based on available data from Task 1</w:t>
      </w:r>
    </w:p>
    <w:p w:rsidR="0010327D" w:rsidRDefault="0010327D" w:rsidP="0010327D">
      <w:pPr>
        <w:numPr>
          <w:ilvl w:val="0"/>
          <w:numId w:val="2"/>
        </w:numPr>
        <w:spacing w:before="100" w:beforeAutospacing="1" w:after="100" w:afterAutospacing="1"/>
        <w:rPr>
          <w:rFonts w:ascii="Segoe UI" w:eastAsia="Times New Roman" w:hAnsi="Segoe UI" w:cs="Segoe UI"/>
          <w:color w:val="212121"/>
          <w:sz w:val="23"/>
          <w:szCs w:val="23"/>
        </w:rPr>
      </w:pPr>
      <w:r>
        <w:rPr>
          <w:rFonts w:ascii="Calibri" w:eastAsia="Times New Roman" w:hAnsi="Calibri" w:cs="Segoe UI"/>
          <w:color w:val="212121"/>
          <w:sz w:val="23"/>
          <w:szCs w:val="23"/>
        </w:rPr>
        <w:t xml:space="preserve">Conduct Service Data Inventory- Using at least three years of historic data (where available), inventory and </w:t>
      </w:r>
      <w:proofErr w:type="spellStart"/>
      <w:r>
        <w:rPr>
          <w:rFonts w:ascii="Calibri" w:eastAsia="Times New Roman" w:hAnsi="Calibri" w:cs="Segoe UI"/>
          <w:color w:val="212121"/>
          <w:sz w:val="23"/>
          <w:szCs w:val="23"/>
        </w:rPr>
        <w:t>geolocate</w:t>
      </w:r>
      <w:proofErr w:type="spellEnd"/>
      <w:r>
        <w:rPr>
          <w:rFonts w:ascii="Calibri" w:eastAsia="Times New Roman" w:hAnsi="Calibri" w:cs="Segoe UI"/>
          <w:color w:val="212121"/>
          <w:sz w:val="23"/>
          <w:szCs w:val="23"/>
        </w:rPr>
        <w:t xml:space="preserve"> City service requests, investments, and work order activity</w:t>
      </w:r>
    </w:p>
    <w:p w:rsidR="0010327D" w:rsidRDefault="0010327D" w:rsidP="0010327D">
      <w:pPr>
        <w:numPr>
          <w:ilvl w:val="0"/>
          <w:numId w:val="2"/>
        </w:numPr>
        <w:spacing w:before="100" w:beforeAutospacing="1" w:after="100" w:afterAutospacing="1"/>
        <w:rPr>
          <w:rFonts w:ascii="Segoe UI" w:eastAsia="Times New Roman" w:hAnsi="Segoe UI" w:cs="Segoe UI"/>
          <w:color w:val="212121"/>
          <w:sz w:val="23"/>
          <w:szCs w:val="23"/>
        </w:rPr>
      </w:pPr>
      <w:r>
        <w:rPr>
          <w:rFonts w:ascii="Calibri" w:eastAsia="Times New Roman" w:hAnsi="Calibri" w:cs="Segoe UI"/>
          <w:color w:val="212121"/>
          <w:sz w:val="23"/>
          <w:szCs w:val="23"/>
        </w:rPr>
        <w:t xml:space="preserve">Analyze inventoried data- Provide insight about the </w:t>
      </w:r>
      <w:proofErr w:type="spellStart"/>
      <w:r>
        <w:rPr>
          <w:rFonts w:ascii="Calibri" w:eastAsia="Times New Roman" w:hAnsi="Calibri" w:cs="Segoe UI"/>
          <w:color w:val="212121"/>
          <w:sz w:val="23"/>
          <w:szCs w:val="23"/>
        </w:rPr>
        <w:t>the</w:t>
      </w:r>
      <w:proofErr w:type="spellEnd"/>
      <w:r>
        <w:rPr>
          <w:rFonts w:ascii="Calibri" w:eastAsia="Times New Roman" w:hAnsi="Calibri" w:cs="Segoe UI"/>
          <w:color w:val="212121"/>
          <w:sz w:val="23"/>
          <w:szCs w:val="23"/>
        </w:rPr>
        <w:t xml:space="preserve"> level of service relative to "neighborhood need", identify geographic patterns in service requests and investment decisions</w:t>
      </w:r>
    </w:p>
    <w:p w:rsidR="0010327D" w:rsidRDefault="0010327D" w:rsidP="0010327D">
      <w:pPr>
        <w:numPr>
          <w:ilvl w:val="0"/>
          <w:numId w:val="2"/>
        </w:numPr>
        <w:spacing w:before="100" w:beforeAutospacing="1" w:after="100" w:afterAutospacing="1"/>
        <w:rPr>
          <w:rFonts w:ascii="Segoe UI" w:eastAsia="Times New Roman" w:hAnsi="Segoe UI" w:cs="Segoe UI"/>
          <w:color w:val="212121"/>
          <w:sz w:val="23"/>
          <w:szCs w:val="23"/>
        </w:rPr>
      </w:pPr>
      <w:r>
        <w:rPr>
          <w:rFonts w:ascii="Calibri" w:eastAsia="Times New Roman" w:hAnsi="Calibri" w:cs="Segoe UI"/>
          <w:color w:val="212121"/>
          <w:sz w:val="23"/>
          <w:szCs w:val="23"/>
        </w:rPr>
        <w:t>Provide recommendations- Produce a report detailing findings, pro-active actions, and changes to departmental procedures necessary to resolve identified disparities.</w:t>
      </w:r>
    </w:p>
    <w:p w:rsidR="006A7106" w:rsidRDefault="006A7106"/>
    <w:sectPr w:rsidR="006A7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C03D4"/>
    <w:multiLevelType w:val="multilevel"/>
    <w:tmpl w:val="30BC26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DF27E25"/>
    <w:multiLevelType w:val="multilevel"/>
    <w:tmpl w:val="686204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7D"/>
    <w:rsid w:val="0010327D"/>
    <w:rsid w:val="00287C7C"/>
    <w:rsid w:val="006A7106"/>
    <w:rsid w:val="00B2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8FA9A-40A1-45B2-B081-A4423533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27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bg-color-themelighter">
    <w:name w:val="ms-bg-color-themelighter"/>
    <w:basedOn w:val="DefaultParagraphFont"/>
    <w:rsid w:val="00103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98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Hutchinson, David</dc:creator>
  <cp:keywords/>
  <dc:description/>
  <cp:lastModifiedBy>Loper, Laurie</cp:lastModifiedBy>
  <cp:revision>2</cp:revision>
  <dcterms:created xsi:type="dcterms:W3CDTF">2017-11-29T20:35:00Z</dcterms:created>
  <dcterms:modified xsi:type="dcterms:W3CDTF">2017-11-29T20:35:00Z</dcterms:modified>
</cp:coreProperties>
</file>