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0D" w:rsidRDefault="00CA6F39" w:rsidP="0025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402</w:t>
      </w:r>
      <w:bookmarkStart w:id="0" w:name="_GoBack"/>
      <w:bookmarkEnd w:id="0"/>
    </w:p>
    <w:p w:rsidR="00251A0D" w:rsidRDefault="00251A0D" w:rsidP="00251A0D">
      <w:pPr>
        <w:rPr>
          <w:b/>
          <w:sz w:val="24"/>
          <w:szCs w:val="24"/>
        </w:rPr>
      </w:pPr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E527FE" w:rsidP="00E527F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Parks and Recreation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E527FE" w:rsidP="00E527F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Louann Horan</w:t>
                </w:r>
                <w:r w:rsidR="00B15870">
                  <w:rPr>
                    <w:rStyle w:val="Style1"/>
                  </w:rPr>
                  <w:t xml:space="preserve"> X2761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B15870" w:rsidP="00E527F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Attending Standing Committee: </w:t>
                </w:r>
                <w:r w:rsidR="00E527FE">
                  <w:rPr>
                    <w:rStyle w:val="Style1"/>
                  </w:rPr>
                  <w:t>Jim Griffin</w:t>
                </w:r>
                <w:r w:rsidR="00303175">
                  <w:rPr>
                    <w:rStyle w:val="Style1"/>
                  </w:rPr>
                  <w:t xml:space="preserve">, </w:t>
                </w:r>
                <w:r>
                  <w:rPr>
                    <w:rStyle w:val="Style1"/>
                  </w:rPr>
                  <w:t>Director/Parks and Recreation 255-2362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CA6F39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CA6F39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2344F2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4"/>
          <w:szCs w:val="24"/>
        </w:rPr>
        <w:id w:val="-1170251545"/>
        <w:lock w:val="sdtLocked"/>
        <w:text w:multiLine="1"/>
      </w:sdtPr>
      <w:sdtEndPr/>
      <w:sdtContent>
        <w:p w:rsidR="003F6BD7" w:rsidRPr="00950428" w:rsidRDefault="00E02C21" w:rsidP="00F848BF">
          <w:pPr>
            <w:rPr>
              <w:sz w:val="24"/>
              <w:szCs w:val="24"/>
            </w:rPr>
          </w:pPr>
          <w:r w:rsidRPr="00E02C21">
            <w:rPr>
              <w:sz w:val="24"/>
              <w:szCs w:val="24"/>
            </w:rPr>
            <w:t>Resolution authorizing the issuance of a warrant in favor of LSK Enterprises, Inc., P.O. Box 62885, Virginia Beach, VA 23466 in an amount not to exceed SIXTEEN THOUSAND EIGHT HUNDRED EIGHTY DOLLARS and EIGHTY SEVEN CENTS ($16,880.87) for professional services in connection with repair and maintenance of the City’s Olympia Ice Rink Cleaner Machine in the Department of Parks and Recreation.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4E5D0A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E02C21">
                  <w:rPr>
                    <w:sz w:val="24"/>
                    <w:szCs w:val="24"/>
                  </w:rPr>
                  <w:t>16,880.87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CA6F3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D0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CA6F3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D0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CA6F3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CA6F3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CA6F3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CA6F3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D0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CA6F3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6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CA6F3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D0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CA6F39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id w:val="-1576964566"/>
          <w:text w:multiLine="1"/>
        </w:sdtPr>
        <w:sdtEndPr/>
        <w:sdtContent>
          <w:r w:rsidR="00E02C21" w:rsidRPr="00E02C21">
            <w:t>56151.5000284500.54201.2017 (Item No. 525100), Year 2017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sz w:val="24"/>
        </w:rPr>
        <w:id w:val="-1654900980"/>
        <w:text w:multiLine="1"/>
      </w:sdtPr>
      <w:sdtEndPr/>
      <w:sdtContent>
        <w:p w:rsidR="00E90DD1" w:rsidRDefault="00E02C21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sz w:val="24"/>
            </w:rPr>
            <w:t xml:space="preserve">The payment for the repair and maintenance for the Rink Cleaner machine is part of the agreement with Olympia that it is serviced one time each year by LSK Enterprises, </w:t>
          </w:r>
          <w:proofErr w:type="spellStart"/>
          <w:r>
            <w:rPr>
              <w:sz w:val="24"/>
            </w:rPr>
            <w:t>Inc</w:t>
          </w:r>
          <w:proofErr w:type="spellEnd"/>
          <w:r>
            <w:rPr>
              <w:sz w:val="24"/>
            </w:rPr>
            <w:t xml:space="preserve"> as part of the warranty.  It is a one-time costs to the Rink TF for payment which changes based on the services/repair needed to the machine.</w:t>
          </w:r>
          <w:r w:rsidR="00893E2C">
            <w:rPr>
              <w:sz w:val="24"/>
            </w:rPr>
            <w:t xml:space="preserve">  The costs are paid for from revenues collected from the daily cash receipts by attendees at the Skating Rink.</w:t>
          </w:r>
          <w:r>
            <w:rPr>
              <w:sz w:val="24"/>
            </w:rPr>
            <w:t xml:space="preserve"> 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232A"/>
    <w:rsid w:val="001B7ACE"/>
    <w:rsid w:val="001C6310"/>
    <w:rsid w:val="001D76EA"/>
    <w:rsid w:val="0020475B"/>
    <w:rsid w:val="00231D72"/>
    <w:rsid w:val="002323E5"/>
    <w:rsid w:val="002344F2"/>
    <w:rsid w:val="00236F30"/>
    <w:rsid w:val="00246578"/>
    <w:rsid w:val="00251A0D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03175"/>
    <w:rsid w:val="003134FB"/>
    <w:rsid w:val="00321212"/>
    <w:rsid w:val="00321263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E5D0A"/>
    <w:rsid w:val="004F38D0"/>
    <w:rsid w:val="004F54FA"/>
    <w:rsid w:val="00513012"/>
    <w:rsid w:val="00533E59"/>
    <w:rsid w:val="00537D6D"/>
    <w:rsid w:val="00546B77"/>
    <w:rsid w:val="00556869"/>
    <w:rsid w:val="00561396"/>
    <w:rsid w:val="005A6B2C"/>
    <w:rsid w:val="005C4F67"/>
    <w:rsid w:val="005D2D2D"/>
    <w:rsid w:val="005E020E"/>
    <w:rsid w:val="006142CB"/>
    <w:rsid w:val="00640F6E"/>
    <w:rsid w:val="00645C12"/>
    <w:rsid w:val="00652E30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801756"/>
    <w:rsid w:val="00836E73"/>
    <w:rsid w:val="008529AF"/>
    <w:rsid w:val="00854D1B"/>
    <w:rsid w:val="00872CF8"/>
    <w:rsid w:val="00875842"/>
    <w:rsid w:val="00891A1A"/>
    <w:rsid w:val="00893E2C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21C6"/>
    <w:rsid w:val="00AA597B"/>
    <w:rsid w:val="00AB3707"/>
    <w:rsid w:val="00AD12A8"/>
    <w:rsid w:val="00AE6077"/>
    <w:rsid w:val="00B15870"/>
    <w:rsid w:val="00B21D5B"/>
    <w:rsid w:val="00B253BE"/>
    <w:rsid w:val="00B73C2D"/>
    <w:rsid w:val="00B94136"/>
    <w:rsid w:val="00B94DEE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529B"/>
    <w:rsid w:val="00CA6F39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27854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E3B62"/>
    <w:rsid w:val="00DF36F5"/>
    <w:rsid w:val="00E02C21"/>
    <w:rsid w:val="00E06A73"/>
    <w:rsid w:val="00E12D1B"/>
    <w:rsid w:val="00E3140E"/>
    <w:rsid w:val="00E3659E"/>
    <w:rsid w:val="00E527FE"/>
    <w:rsid w:val="00E53806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40CE3"/>
    <w:rsid w:val="00F57E43"/>
    <w:rsid w:val="00F62A7D"/>
    <w:rsid w:val="00F63B20"/>
    <w:rsid w:val="00F71BAA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759D6B-783F-4176-9114-3BFAEBB1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3219-2D47-44B3-AD60-EEBFFA1E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8</cp:revision>
  <cp:lastPrinted>2017-01-30T14:53:00Z</cp:lastPrinted>
  <dcterms:created xsi:type="dcterms:W3CDTF">2017-01-10T20:37:00Z</dcterms:created>
  <dcterms:modified xsi:type="dcterms:W3CDTF">2017-02-03T16:57:00Z</dcterms:modified>
</cp:coreProperties>
</file>