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DFC4C" w14:textId="22ADBC02" w:rsidR="00BA6346" w:rsidRDefault="00390C96" w:rsidP="19E76A28">
      <w:pPr>
        <w:rPr>
          <w:b/>
          <w:bCs/>
        </w:rPr>
      </w:pPr>
      <w:proofErr w:type="gramStart"/>
      <w:r>
        <w:rPr>
          <w:b/>
          <w:bCs/>
        </w:rPr>
        <w:t>..</w:t>
      </w:r>
      <w:proofErr w:type="gramEnd"/>
      <w:r>
        <w:rPr>
          <w:b/>
          <w:bCs/>
        </w:rPr>
        <w:t>title</w:t>
      </w:r>
    </w:p>
    <w:p w14:paraId="4ED65FD0" w14:textId="73905947" w:rsidR="00447634" w:rsidRDefault="15FD01FB" w:rsidP="19E76A28">
      <w:pPr>
        <w:rPr>
          <w:rFonts w:ascii="Aptos" w:eastAsia="Aptos" w:hAnsi="Aptos" w:cs="Aptos"/>
          <w:b/>
          <w:bCs/>
        </w:rPr>
      </w:pPr>
      <w:r w:rsidRPr="6D747127">
        <w:rPr>
          <w:b/>
          <w:bCs/>
        </w:rPr>
        <w:t>Ordinance amending the Pittsburgh Zoning Code, Title Nine - Zoning</w:t>
      </w:r>
      <w:r w:rsidRPr="6D747127">
        <w:rPr>
          <w:b/>
          <w:bCs/>
          <w:strike/>
        </w:rPr>
        <w:t xml:space="preserve">, </w:t>
      </w:r>
      <w:commentRangeStart w:id="0"/>
      <w:r w:rsidRPr="6D747127">
        <w:rPr>
          <w:b/>
          <w:bCs/>
          <w:strike/>
        </w:rPr>
        <w:t>Article IV, Planning Districts; Chapter 908 Public Realm Districts; Chapter 909 Planned Development Districts;</w:t>
      </w:r>
      <w:r w:rsidRPr="6D747127">
        <w:rPr>
          <w:b/>
          <w:bCs/>
        </w:rPr>
        <w:t xml:space="preserve"> </w:t>
      </w:r>
      <w:commentRangeEnd w:id="0"/>
      <w:r>
        <w:rPr>
          <w:rStyle w:val="CommentReference"/>
        </w:rPr>
        <w:commentReference w:id="0"/>
      </w:r>
      <w:r w:rsidRPr="6D747127">
        <w:rPr>
          <w:b/>
          <w:bCs/>
        </w:rPr>
        <w:t>Article V, Use Regulations; Chapter 911 Primary Uses; Chapter 912 Accessory Uses and Structures, to add Short-Term Rental use regulations.</w:t>
      </w:r>
    </w:p>
    <w:p w14:paraId="7551F00B" w14:textId="44E4ECF2" w:rsidR="6D747127" w:rsidRDefault="00390C96" w:rsidP="6D747127">
      <w:pPr>
        <w:rPr>
          <w:b/>
          <w:bCs/>
        </w:rPr>
      </w:pPr>
      <w:r>
        <w:rPr>
          <w:b/>
          <w:bCs/>
        </w:rPr>
        <w:t>..body</w:t>
      </w:r>
    </w:p>
    <w:p w14:paraId="22924E4A" w14:textId="6BC415C6" w:rsidR="00447634" w:rsidRDefault="15FD01FB" w:rsidP="78BE81FD">
      <w:pPr>
        <w:rPr>
          <w:b/>
          <w:bCs/>
        </w:rPr>
      </w:pPr>
      <w:r w:rsidRPr="19E76A28">
        <w:rPr>
          <w:b/>
          <w:bCs/>
        </w:rPr>
        <w:t>Section 1</w:t>
      </w:r>
      <w:r w:rsidR="6BF2F9C9" w:rsidRPr="19E76A28">
        <w:rPr>
          <w:b/>
          <w:bCs/>
        </w:rPr>
        <w:t>.</w:t>
      </w:r>
      <w:r w:rsidRPr="19E76A28">
        <w:rPr>
          <w:b/>
          <w:bCs/>
        </w:rPr>
        <w:t xml:space="preserve"> The Pittsburgh Zoning Code, Title Nine: Zoning, Article V: Use Regulations, Chapter 911 – Primary Uses, 911.02 - Use Table is here by amended as follows:</w:t>
      </w:r>
    </w:p>
    <w:p w14:paraId="5C843348" w14:textId="56B03B2E" w:rsidR="00BA6346" w:rsidRDefault="00BA6346" w:rsidP="78BE81FD">
      <w:pPr>
        <w:rPr>
          <w:b/>
          <w:bCs/>
        </w:rPr>
      </w:pPr>
    </w:p>
    <w:p w14:paraId="41DB2E60" w14:textId="108EEA7A" w:rsidR="00BA6346" w:rsidRDefault="00BA6346" w:rsidP="78BE81FD">
      <w:pPr>
        <w:rPr>
          <w:b/>
          <w:bCs/>
        </w:rPr>
      </w:pPr>
    </w:p>
    <w:p w14:paraId="55C5F661" w14:textId="2689B996" w:rsidR="00BA6346" w:rsidRDefault="00BA6346" w:rsidP="78BE81FD">
      <w:pPr>
        <w:rPr>
          <w:b/>
          <w:bCs/>
        </w:rPr>
      </w:pPr>
    </w:p>
    <w:p w14:paraId="0CA17AE0" w14:textId="29F38C83" w:rsidR="00BA6346" w:rsidRDefault="00BA6346" w:rsidP="78BE81FD">
      <w:pPr>
        <w:rPr>
          <w:b/>
          <w:bCs/>
        </w:rPr>
      </w:pPr>
    </w:p>
    <w:p w14:paraId="7F624CB6" w14:textId="7925DB20" w:rsidR="00BA6346" w:rsidRDefault="00BA6346" w:rsidP="78BE81FD">
      <w:pPr>
        <w:rPr>
          <w:b/>
          <w:bCs/>
        </w:rPr>
      </w:pPr>
    </w:p>
    <w:p w14:paraId="3C5441F4" w14:textId="0772F3B4" w:rsidR="00BA6346" w:rsidRDefault="00BA6346" w:rsidP="78BE81FD">
      <w:pPr>
        <w:rPr>
          <w:b/>
          <w:bCs/>
        </w:rPr>
      </w:pPr>
    </w:p>
    <w:p w14:paraId="5FFBED7F" w14:textId="77777777" w:rsidR="00BA6346" w:rsidRDefault="00BA6346" w:rsidP="78BE81FD">
      <w:pPr>
        <w:rPr>
          <w:rFonts w:ascii="Times New Roman" w:eastAsia="Times New Roman" w:hAnsi="Times New Roman" w:cs="Times New Roman"/>
          <w:b/>
          <w:bCs/>
          <w:color w:val="000000" w:themeColor="text1"/>
        </w:rPr>
      </w:pP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306"/>
        <w:gridCol w:w="483"/>
        <w:gridCol w:w="478"/>
        <w:gridCol w:w="408"/>
        <w:gridCol w:w="408"/>
        <w:gridCol w:w="440"/>
        <w:gridCol w:w="523"/>
        <w:gridCol w:w="468"/>
        <w:gridCol w:w="459"/>
        <w:gridCol w:w="504"/>
        <w:gridCol w:w="398"/>
        <w:gridCol w:w="357"/>
        <w:gridCol w:w="359"/>
        <w:gridCol w:w="454"/>
        <w:gridCol w:w="448"/>
        <w:gridCol w:w="454"/>
        <w:gridCol w:w="299"/>
        <w:gridCol w:w="315"/>
        <w:gridCol w:w="470"/>
        <w:gridCol w:w="393"/>
        <w:gridCol w:w="221"/>
        <w:gridCol w:w="440"/>
        <w:gridCol w:w="454"/>
        <w:gridCol w:w="393"/>
        <w:gridCol w:w="357"/>
        <w:gridCol w:w="496"/>
        <w:gridCol w:w="1145"/>
      </w:tblGrid>
      <w:tr w:rsidR="78BE81FD" w14:paraId="437E040B" w14:textId="77777777" w:rsidTr="6D747127">
        <w:trPr>
          <w:trHeight w:val="675"/>
        </w:trPr>
        <w:tc>
          <w:tcPr>
            <w:tcW w:w="1523"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0D44615C" w14:textId="0E2731DE"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Use Classification</w:t>
            </w:r>
          </w:p>
        </w:tc>
        <w:tc>
          <w:tcPr>
            <w:tcW w:w="10604" w:type="dxa"/>
            <w:gridSpan w:val="2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2BE8B87B" w14:textId="33885B8F"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Base Zoning Districts*</w:t>
            </w:r>
          </w:p>
        </w:tc>
      </w:tr>
      <w:tr w:rsidR="78BE81FD" w14:paraId="03DE7387" w14:textId="77777777" w:rsidTr="6D747127">
        <w:trPr>
          <w:trHeight w:val="300"/>
        </w:trPr>
        <w:tc>
          <w:tcPr>
            <w:tcW w:w="1523" w:type="dxa"/>
            <w:vMerge/>
            <w:vAlign w:val="center"/>
          </w:tcPr>
          <w:p w14:paraId="5C772594" w14:textId="77777777" w:rsidR="00447634" w:rsidRDefault="00447634"/>
        </w:tc>
        <w:tc>
          <w:tcPr>
            <w:tcW w:w="10604" w:type="dxa"/>
            <w:gridSpan w:val="2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5577486C" w14:textId="2FCA2A44"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 As Base Zoning District Regulations, all uses may be subject to additional regulations imposed by applicable Overlay Zoning Districts</w:t>
            </w:r>
          </w:p>
        </w:tc>
      </w:tr>
      <w:tr w:rsidR="78BE81FD" w14:paraId="3965332E" w14:textId="77777777" w:rsidTr="6D747127">
        <w:trPr>
          <w:trHeight w:val="300"/>
        </w:trPr>
        <w:tc>
          <w:tcPr>
            <w:tcW w:w="1523" w:type="dxa"/>
            <w:vMerge/>
            <w:vAlign w:val="center"/>
          </w:tcPr>
          <w:p w14:paraId="10E3AEDA" w14:textId="77777777" w:rsidR="00447634" w:rsidRDefault="00447634"/>
        </w:tc>
        <w:tc>
          <w:tcPr>
            <w:tcW w:w="1545" w:type="dxa"/>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1672EF49" w14:textId="226A1B4A"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Residential</w:t>
            </w:r>
          </w:p>
        </w:tc>
        <w:tc>
          <w:tcPr>
            <w:tcW w:w="3000" w:type="dxa"/>
            <w:gridSpan w:val="10"/>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4761EF3E" w14:textId="5BDB8529"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Mixed Use</w:t>
            </w:r>
          </w:p>
        </w:tc>
        <w:tc>
          <w:tcPr>
            <w:tcW w:w="900" w:type="dxa"/>
            <w:gridSpan w:val="3"/>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594D5F25" w14:textId="5670E1ED"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Special</w:t>
            </w:r>
          </w:p>
        </w:tc>
        <w:tc>
          <w:tcPr>
            <w:tcW w:w="60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7EDE2FB2" w14:textId="39398A7E"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DT</w:t>
            </w:r>
          </w:p>
        </w:tc>
        <w:tc>
          <w:tcPr>
            <w:tcW w:w="2939" w:type="dxa"/>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40D6D5D3" w14:textId="65150BD3"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RIV</w:t>
            </w:r>
          </w:p>
        </w:tc>
        <w:tc>
          <w:tcPr>
            <w:tcW w:w="16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0A1567C2" w14:textId="1F9E97D4"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 xml:space="preserve"> </w:t>
            </w:r>
          </w:p>
        </w:tc>
      </w:tr>
      <w:tr w:rsidR="00BA6346" w14:paraId="41F42121" w14:textId="77777777" w:rsidTr="6D747127">
        <w:trPr>
          <w:trHeight w:val="795"/>
        </w:trPr>
        <w:tc>
          <w:tcPr>
            <w:tcW w:w="1523" w:type="dxa"/>
            <w:vMerge/>
            <w:vAlign w:val="center"/>
          </w:tcPr>
          <w:p w14:paraId="7251E6B1" w14:textId="77777777" w:rsidR="00447634" w:rsidRDefault="00447634"/>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17ED2103" w14:textId="1920AA3E"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R1D</w:t>
            </w:r>
          </w:p>
        </w:tc>
        <w:tc>
          <w:tcPr>
            <w:tcW w:w="3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689F55C6" w14:textId="3A7CB71C"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R1A</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688B96D4" w14:textId="507DE8EC"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R2</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7E6861E9" w14:textId="61044BBE"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R3</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179E4B6B" w14:textId="362AA89A"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RM</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7F75054D" w14:textId="2B202967"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NDO</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38C77D3B" w14:textId="6EA4B7D8"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LNC</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6F1CF0D3" w14:textId="53AB3DD8"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NDI</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047839E4" w14:textId="7590052E"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UNC</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4E98FAC3" w14:textId="3CF22F2C"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HC</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691E98DC" w14:textId="512D0F42"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GI</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46AA3769" w14:textId="22CD9C8B"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UI</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58C9CC37" w14:textId="0C826EE5"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UC-</w:t>
            </w:r>
            <w:r w:rsidRPr="78BE81FD">
              <w:rPr>
                <w:rFonts w:ascii="Calibri" w:eastAsia="Calibri" w:hAnsi="Calibri" w:cs="Calibri"/>
                <w:b/>
                <w:bCs/>
                <w:color w:val="000000" w:themeColor="text1"/>
                <w:sz w:val="20"/>
                <w:szCs w:val="20"/>
              </w:rPr>
              <w:lastRenderedPageBreak/>
              <w:t>MU</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0DE791D0" w14:textId="6F7C77CD"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lastRenderedPageBreak/>
              <w:t>UC-E</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1428B0FE" w14:textId="76AAAEDE"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R-MU</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34B1E4C8" w14:textId="701FAD4A"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1C70EEEB" w14:textId="35D65E3C"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H</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3F3FB728" w14:textId="38314466"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EMI</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680D707C" w14:textId="78837D86"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GT</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7D1B08D4" w14:textId="163DFCA1"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 xml:space="preserve"> </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47FC1F7B" w14:textId="79AADF2E"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RM</w:t>
            </w:r>
          </w:p>
        </w:tc>
        <w:tc>
          <w:tcPr>
            <w:tcW w:w="38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39DB4EF8" w14:textId="43FDD5A5"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MU</w:t>
            </w:r>
          </w:p>
        </w:tc>
        <w:tc>
          <w:tcPr>
            <w:tcW w:w="3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1A382EC0" w14:textId="544CC620"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NS</w:t>
            </w:r>
          </w:p>
        </w:tc>
        <w:tc>
          <w:tcPr>
            <w:tcW w:w="4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4A9BA1A4" w14:textId="6325F43A"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GI</w:t>
            </w:r>
          </w:p>
        </w:tc>
        <w:tc>
          <w:tcPr>
            <w:tcW w:w="14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406EDC74" w14:textId="547D2AE4" w:rsidR="78BE81FD" w:rsidRDefault="78BE81FD" w:rsidP="78BE81FD">
            <w:pPr>
              <w:jc w:val="right"/>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IMU</w:t>
            </w:r>
          </w:p>
        </w:tc>
        <w:tc>
          <w:tcPr>
            <w:tcW w:w="16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0CECE"/>
            <w:vAlign w:val="bottom"/>
          </w:tcPr>
          <w:p w14:paraId="57846AE8" w14:textId="0E9764DE"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b/>
                <w:bCs/>
                <w:color w:val="000000" w:themeColor="text1"/>
                <w:sz w:val="20"/>
                <w:szCs w:val="20"/>
              </w:rPr>
              <w:t>Standard See §911.04.x</w:t>
            </w:r>
          </w:p>
        </w:tc>
      </w:tr>
      <w:tr w:rsidR="00BA6346" w14:paraId="19C8DDDE" w14:textId="77777777" w:rsidTr="6D747127">
        <w:trPr>
          <w:trHeight w:val="300"/>
        </w:trPr>
        <w:tc>
          <w:tcPr>
            <w:tcW w:w="152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7E90E241" w14:textId="317B3BBA" w:rsidR="78BE81FD" w:rsidRDefault="613E7B74" w:rsidP="78BE81FD">
            <w:pPr>
              <w:rPr>
                <w:rFonts w:ascii="Calibri" w:eastAsia="Calibri" w:hAnsi="Calibri" w:cs="Calibri"/>
                <w:color w:val="000000" w:themeColor="text1"/>
                <w:sz w:val="20"/>
                <w:szCs w:val="20"/>
              </w:rPr>
            </w:pPr>
            <w:r w:rsidRPr="19E76A28">
              <w:rPr>
                <w:rFonts w:ascii="Calibri" w:eastAsia="Calibri" w:hAnsi="Calibri" w:cs="Calibri"/>
                <w:b/>
                <w:bCs/>
                <w:color w:val="000000" w:themeColor="text1"/>
                <w:sz w:val="20"/>
                <w:szCs w:val="20"/>
                <w:u w:val="single"/>
              </w:rPr>
              <w:t>Short Term Rental</w:t>
            </w:r>
            <w:r w:rsidRPr="19E76A28">
              <w:rPr>
                <w:rFonts w:ascii="Calibri" w:eastAsia="Calibri" w:hAnsi="Calibri" w:cs="Calibri"/>
                <w:color w:val="000000" w:themeColor="text1"/>
                <w:sz w:val="20"/>
                <w:szCs w:val="20"/>
                <w:u w:val="single"/>
              </w:rPr>
              <w:t xml:space="preserve"> Short-Term Rental means a dwelling unit, in which sleeping </w:t>
            </w:r>
            <w:r w:rsidR="1291584E" w:rsidRPr="19E76A28">
              <w:rPr>
                <w:rFonts w:ascii="Calibri" w:eastAsia="Calibri" w:hAnsi="Calibri" w:cs="Calibri"/>
                <w:color w:val="000000" w:themeColor="text1"/>
                <w:sz w:val="20"/>
                <w:szCs w:val="20"/>
                <w:u w:val="single"/>
              </w:rPr>
              <w:t>accommodations</w:t>
            </w:r>
            <w:r w:rsidRPr="19E76A28">
              <w:rPr>
                <w:rFonts w:ascii="Calibri" w:eastAsia="Calibri" w:hAnsi="Calibri" w:cs="Calibri"/>
                <w:color w:val="000000" w:themeColor="text1"/>
                <w:sz w:val="20"/>
                <w:szCs w:val="20"/>
                <w:u w:val="single"/>
              </w:rPr>
              <w:t xml:space="preserve"> are provided for one or more guests, for a fee, on a nightly or weekly basis.</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24E6AA1A" w14:textId="2948B4A5" w:rsidR="78BE81FD" w:rsidRPr="00BA6346" w:rsidRDefault="00BA6346" w:rsidP="408412FF">
            <w:pPr>
              <w:jc w:val="center"/>
              <w:rPr>
                <w:rFonts w:ascii="Calibri" w:eastAsia="Calibri" w:hAnsi="Calibri" w:cs="Calibri"/>
                <w:b/>
                <w:bCs/>
                <w:strike/>
                <w:color w:val="000000" w:themeColor="text1"/>
                <w:sz w:val="22"/>
                <w:szCs w:val="22"/>
                <w:highlight w:val="yellow"/>
              </w:rPr>
            </w:pPr>
            <w:r>
              <w:rPr>
                <w:rFonts w:ascii="Calibri" w:eastAsia="Calibri" w:hAnsi="Calibri" w:cs="Calibri"/>
                <w:b/>
                <w:bCs/>
                <w:strike/>
                <w:color w:val="000000" w:themeColor="text1"/>
                <w:sz w:val="22"/>
                <w:szCs w:val="22"/>
                <w:highlight w:val="yellow"/>
              </w:rPr>
              <w:t>[</w:t>
            </w:r>
            <w:r w:rsidRPr="00BA6346">
              <w:rPr>
                <w:rFonts w:ascii="Calibri" w:eastAsia="Calibri" w:hAnsi="Calibri" w:cs="Calibri"/>
                <w:b/>
                <w:bCs/>
                <w:strike/>
                <w:color w:val="000000" w:themeColor="text1"/>
                <w:sz w:val="22"/>
                <w:szCs w:val="22"/>
                <w:highlight w:val="yellow"/>
              </w:rPr>
              <w:t>S</w:t>
            </w:r>
            <w:r>
              <w:rPr>
                <w:rFonts w:ascii="Calibri" w:eastAsia="Calibri" w:hAnsi="Calibri" w:cs="Calibri"/>
                <w:b/>
                <w:bCs/>
                <w:strike/>
                <w:color w:val="000000" w:themeColor="text1"/>
                <w:sz w:val="22"/>
                <w:szCs w:val="22"/>
                <w:highlight w:val="yellow"/>
              </w:rPr>
              <w:t>]</w:t>
            </w:r>
          </w:p>
        </w:tc>
        <w:tc>
          <w:tcPr>
            <w:tcW w:w="3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19E43C54" w14:textId="6DDBEDFE" w:rsidR="78BE81FD" w:rsidRPr="00BA6346" w:rsidRDefault="00BA6346" w:rsidP="408412FF">
            <w:pPr>
              <w:jc w:val="center"/>
              <w:rPr>
                <w:rFonts w:ascii="Calibri" w:eastAsia="Calibri" w:hAnsi="Calibri" w:cs="Calibri"/>
                <w:b/>
                <w:bCs/>
                <w:strike/>
                <w:color w:val="000000" w:themeColor="text1"/>
                <w:sz w:val="22"/>
                <w:szCs w:val="22"/>
                <w:highlight w:val="yellow"/>
              </w:rPr>
            </w:pPr>
            <w:r>
              <w:rPr>
                <w:rFonts w:ascii="Calibri" w:eastAsia="Calibri" w:hAnsi="Calibri" w:cs="Calibri"/>
                <w:b/>
                <w:bCs/>
                <w:strike/>
                <w:color w:val="000000" w:themeColor="text1"/>
                <w:sz w:val="22"/>
                <w:szCs w:val="22"/>
                <w:highlight w:val="yellow"/>
              </w:rPr>
              <w:t>[</w:t>
            </w:r>
            <w:r w:rsidRPr="00BA6346">
              <w:rPr>
                <w:rFonts w:ascii="Calibri" w:eastAsia="Calibri" w:hAnsi="Calibri" w:cs="Calibri"/>
                <w:b/>
                <w:bCs/>
                <w:strike/>
                <w:color w:val="000000" w:themeColor="text1"/>
                <w:sz w:val="22"/>
                <w:szCs w:val="22"/>
                <w:highlight w:val="yellow"/>
              </w:rPr>
              <w:t>S</w:t>
            </w:r>
            <w:r>
              <w:rPr>
                <w:rFonts w:ascii="Calibri" w:eastAsia="Calibri" w:hAnsi="Calibri" w:cs="Calibri"/>
                <w:b/>
                <w:bCs/>
                <w:strike/>
                <w:color w:val="000000" w:themeColor="text1"/>
                <w:sz w:val="22"/>
                <w:szCs w:val="22"/>
                <w:highlight w:val="yellow"/>
              </w:rPr>
              <w:t>]</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34F2E26F" w14:textId="7F035511" w:rsidR="78BE81FD" w:rsidRPr="00BA6346" w:rsidRDefault="00BA6346" w:rsidP="408412FF">
            <w:pPr>
              <w:jc w:val="center"/>
              <w:rPr>
                <w:rFonts w:ascii="Calibri" w:eastAsia="Calibri" w:hAnsi="Calibri" w:cs="Calibri"/>
                <w:b/>
                <w:bCs/>
                <w:strike/>
                <w:color w:val="000000" w:themeColor="text1"/>
                <w:sz w:val="22"/>
                <w:szCs w:val="22"/>
                <w:highlight w:val="yellow"/>
              </w:rPr>
            </w:pPr>
            <w:r w:rsidRPr="00BA6346">
              <w:rPr>
                <w:rFonts w:ascii="Calibri" w:eastAsia="Calibri" w:hAnsi="Calibri" w:cs="Calibri"/>
                <w:b/>
                <w:bCs/>
                <w:strike/>
                <w:color w:val="000000" w:themeColor="text1"/>
                <w:sz w:val="22"/>
                <w:szCs w:val="22"/>
                <w:highlight w:val="yellow"/>
              </w:rPr>
              <w:t>[S]</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27D21C18" w14:textId="59BF8A5C" w:rsidR="78BE81FD" w:rsidRPr="00BA6346" w:rsidRDefault="00BA6346" w:rsidP="408412FF">
            <w:pPr>
              <w:jc w:val="center"/>
              <w:rPr>
                <w:rFonts w:ascii="Calibri" w:eastAsia="Calibri" w:hAnsi="Calibri" w:cs="Calibri"/>
                <w:b/>
                <w:bCs/>
                <w:strike/>
                <w:color w:val="000000" w:themeColor="text1"/>
                <w:sz w:val="22"/>
                <w:szCs w:val="22"/>
                <w:highlight w:val="yellow"/>
              </w:rPr>
            </w:pPr>
            <w:r w:rsidRPr="00BA6346">
              <w:rPr>
                <w:rFonts w:ascii="Calibri" w:eastAsia="Calibri" w:hAnsi="Calibri" w:cs="Calibri"/>
                <w:b/>
                <w:bCs/>
                <w:strike/>
                <w:color w:val="000000" w:themeColor="text1"/>
                <w:sz w:val="22"/>
                <w:szCs w:val="22"/>
                <w:highlight w:val="yellow"/>
              </w:rPr>
              <w:t>[S]</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705B8A34" w14:textId="6860DEE0"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123A35BF" w14:textId="164B598F"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3A23E9BF" w14:textId="5AAFF526"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3647B761" w14:textId="6BF95184"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4CBCA11D" w14:textId="049CA7AD"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2E6062E7" w14:textId="69E4F87F" w:rsidR="78BE81FD" w:rsidRDefault="78BE81FD" w:rsidP="78BE81FD">
            <w:pPr>
              <w:rPr>
                <w:rFonts w:ascii="Times New Roman" w:eastAsia="Times New Roman" w:hAnsi="Times New Roman" w:cs="Times New Roman"/>
                <w:sz w:val="20"/>
                <w:szCs w:val="20"/>
              </w:rPr>
            </w:pP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3C7938FD" w14:textId="77C8AC48" w:rsidR="78BE81FD" w:rsidRDefault="78BE81FD" w:rsidP="78BE81FD">
            <w:pPr>
              <w:rPr>
                <w:rFonts w:ascii="Times New Roman" w:eastAsia="Times New Roman" w:hAnsi="Times New Roman" w:cs="Times New Roman"/>
                <w:sz w:val="20"/>
                <w:szCs w:val="20"/>
              </w:rPr>
            </w:pP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0DE1D8D3" w14:textId="1945697E"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2EFED97F" w14:textId="1112D381"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355FEA80" w14:textId="63880FF1"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04FBFB25" w14:textId="1727E9D6"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5C7A9584" w14:textId="574AF98C" w:rsidR="78BE81FD" w:rsidRDefault="78BE81FD" w:rsidP="78BE81FD">
            <w:pPr>
              <w:rPr>
                <w:rFonts w:ascii="Times New Roman" w:eastAsia="Times New Roman" w:hAnsi="Times New Roman" w:cs="Times New Roman"/>
                <w:sz w:val="20"/>
                <w:szCs w:val="20"/>
              </w:rPr>
            </w:pP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3F953961" w14:textId="2B37BEFA" w:rsidR="78BE81FD" w:rsidRDefault="78BE81FD" w:rsidP="78BE81FD">
            <w:pPr>
              <w:rPr>
                <w:rFonts w:ascii="Times New Roman" w:eastAsia="Times New Roman" w:hAnsi="Times New Roman" w:cs="Times New Roman"/>
                <w:sz w:val="20"/>
                <w:szCs w:val="20"/>
              </w:rPr>
            </w:pP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42D96AD5" w14:textId="32F41D19"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24A1331E" w14:textId="494B40E4"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3F009D25" w14:textId="66DA1547" w:rsidR="78BE81FD" w:rsidRDefault="78BE81FD" w:rsidP="78BE81FD">
            <w:pPr>
              <w:rPr>
                <w:rFonts w:ascii="Times New Roman" w:eastAsia="Times New Roman" w:hAnsi="Times New Roman" w:cs="Times New Roman"/>
                <w:sz w:val="20"/>
                <w:szCs w:val="20"/>
              </w:rPr>
            </w:pPr>
          </w:p>
        </w:tc>
        <w:tc>
          <w:tcPr>
            <w:tcW w:w="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7AC4CBB2" w14:textId="7096836C"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8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4D91D1F4" w14:textId="75728095"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3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1799B066" w14:textId="13A700EF"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4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26692B89" w14:textId="23EE7757" w:rsidR="78BE81FD" w:rsidRDefault="78BE81FD" w:rsidP="78BE81FD">
            <w:pPr>
              <w:rPr>
                <w:rFonts w:ascii="Times New Roman" w:eastAsia="Times New Roman" w:hAnsi="Times New Roman" w:cs="Times New Roman"/>
                <w:sz w:val="20"/>
                <w:szCs w:val="20"/>
              </w:rPr>
            </w:pPr>
          </w:p>
        </w:tc>
        <w:tc>
          <w:tcPr>
            <w:tcW w:w="14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64CEE9C7" w14:textId="5C4E0D13" w:rsidR="78BE81FD" w:rsidRDefault="78BE81FD" w:rsidP="78BE81FD">
            <w:pPr>
              <w:jc w:val="cente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P</w:t>
            </w:r>
          </w:p>
        </w:tc>
        <w:tc>
          <w:tcPr>
            <w:tcW w:w="16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201BD54E" w14:textId="665D7D7C" w:rsidR="78BE81FD" w:rsidRDefault="78BE81FD" w:rsidP="78BE81FD">
            <w:pPr>
              <w:rPr>
                <w:rFonts w:ascii="Calibri" w:eastAsia="Calibri" w:hAnsi="Calibri" w:cs="Calibri"/>
                <w:color w:val="000000" w:themeColor="text1"/>
                <w:sz w:val="20"/>
                <w:szCs w:val="20"/>
              </w:rPr>
            </w:pPr>
            <w:r w:rsidRPr="78BE81FD">
              <w:rPr>
                <w:rFonts w:ascii="Calibri" w:eastAsia="Calibri" w:hAnsi="Calibri" w:cs="Calibri"/>
                <w:color w:val="000000" w:themeColor="text1"/>
                <w:sz w:val="20"/>
                <w:szCs w:val="20"/>
                <w:u w:val="single"/>
              </w:rPr>
              <w:t>§</w:t>
            </w:r>
            <w:r w:rsidRPr="78BE81FD">
              <w:rPr>
                <w:rFonts w:ascii="Calibri" w:eastAsia="Calibri" w:hAnsi="Calibri" w:cs="Calibri"/>
                <w:b/>
                <w:bCs/>
                <w:color w:val="000000" w:themeColor="text1"/>
                <w:sz w:val="20"/>
                <w:szCs w:val="20"/>
                <w:u w:val="single"/>
              </w:rPr>
              <w:t>911.</w:t>
            </w:r>
            <w:proofErr w:type="gramStart"/>
            <w:r w:rsidRPr="78BE81FD">
              <w:rPr>
                <w:rFonts w:ascii="Calibri" w:eastAsia="Calibri" w:hAnsi="Calibri" w:cs="Calibri"/>
                <w:b/>
                <w:bCs/>
                <w:color w:val="000000" w:themeColor="text1"/>
                <w:sz w:val="20"/>
                <w:szCs w:val="20"/>
                <w:u w:val="single"/>
              </w:rPr>
              <w:t>04.A.</w:t>
            </w:r>
            <w:proofErr w:type="gramEnd"/>
            <w:r w:rsidRPr="78BE81FD">
              <w:rPr>
                <w:rFonts w:ascii="Calibri" w:eastAsia="Calibri" w:hAnsi="Calibri" w:cs="Calibri"/>
                <w:b/>
                <w:bCs/>
                <w:color w:val="000000" w:themeColor="text1"/>
                <w:sz w:val="20"/>
                <w:szCs w:val="20"/>
                <w:u w:val="single"/>
              </w:rPr>
              <w:t>101</w:t>
            </w:r>
          </w:p>
        </w:tc>
      </w:tr>
    </w:tbl>
    <w:p w14:paraId="1C4B01F5" w14:textId="77777777" w:rsidR="00256831" w:rsidRDefault="00256831">
      <w:pPr>
        <w:sectPr w:rsidR="00256831">
          <w:pgSz w:w="15840" w:h="12240" w:orient="landscape"/>
          <w:pgMar w:top="1440" w:right="1440" w:bottom="1440" w:left="1440" w:header="720" w:footer="720" w:gutter="0"/>
          <w:cols w:space="720"/>
          <w:docGrid w:linePitch="360"/>
        </w:sectPr>
      </w:pPr>
    </w:p>
    <w:p w14:paraId="7599726D" w14:textId="1E03879E" w:rsidR="2DB179CE" w:rsidRPr="00256831" w:rsidRDefault="2DB179CE" w:rsidP="78BE81FD">
      <w:r w:rsidRPr="19E76A28">
        <w:rPr>
          <w:b/>
          <w:bCs/>
        </w:rPr>
        <w:lastRenderedPageBreak/>
        <w:t>Section 2.</w:t>
      </w:r>
      <w:r w:rsidR="74BFAB54" w:rsidRPr="19E76A28">
        <w:rPr>
          <w:b/>
          <w:bCs/>
        </w:rPr>
        <w:t xml:space="preserve"> </w:t>
      </w:r>
      <w:r w:rsidRPr="19E76A28">
        <w:rPr>
          <w:b/>
          <w:bCs/>
        </w:rPr>
        <w:t>The Pittsburgh Zoning Code, Title Nine, Article V: Use Regulations, Chapter 911 – Primary Uses, 911.04: Use Standards is hereby amended to include a new Section 911.04.A.101 - Short-Term Rental as follows:</w:t>
      </w:r>
    </w:p>
    <w:p w14:paraId="4E82AEE4" w14:textId="5608EE81" w:rsidR="78BE81FD" w:rsidRDefault="78BE81FD" w:rsidP="78BE81FD">
      <w:pPr>
        <w:rPr>
          <w:rFonts w:ascii="Times New Roman" w:eastAsia="Times New Roman" w:hAnsi="Times New Roman" w:cs="Times New Roman"/>
          <w:color w:val="000000" w:themeColor="text1"/>
          <w:sz w:val="22"/>
          <w:szCs w:val="22"/>
        </w:rPr>
      </w:pPr>
    </w:p>
    <w:p w14:paraId="552ADF1F" w14:textId="78CE0844" w:rsidR="2DB179CE" w:rsidRDefault="2DB179CE" w:rsidP="78BE81FD">
      <w:p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b/>
          <w:bCs/>
          <w:color w:val="000000" w:themeColor="text1"/>
          <w:sz w:val="22"/>
          <w:szCs w:val="22"/>
          <w:u w:val="single"/>
        </w:rPr>
        <w:t>911.</w:t>
      </w:r>
      <w:proofErr w:type="gramStart"/>
      <w:r w:rsidRPr="78BE81FD">
        <w:rPr>
          <w:rFonts w:ascii="Times New Roman" w:eastAsia="Times New Roman" w:hAnsi="Times New Roman" w:cs="Times New Roman"/>
          <w:b/>
          <w:bCs/>
          <w:color w:val="000000" w:themeColor="text1"/>
          <w:sz w:val="22"/>
          <w:szCs w:val="22"/>
          <w:u w:val="single"/>
        </w:rPr>
        <w:t>04.A.</w:t>
      </w:r>
      <w:proofErr w:type="gramEnd"/>
      <w:r w:rsidRPr="78BE81FD">
        <w:rPr>
          <w:rFonts w:ascii="Times New Roman" w:eastAsia="Times New Roman" w:hAnsi="Times New Roman" w:cs="Times New Roman"/>
          <w:b/>
          <w:bCs/>
          <w:color w:val="000000" w:themeColor="text1"/>
          <w:sz w:val="22"/>
          <w:szCs w:val="22"/>
          <w:u w:val="single"/>
        </w:rPr>
        <w:t>101</w:t>
      </w:r>
      <w:r>
        <w:tab/>
      </w:r>
      <w:r w:rsidRPr="78BE81FD">
        <w:rPr>
          <w:rFonts w:ascii="Times New Roman" w:eastAsia="Times New Roman" w:hAnsi="Times New Roman" w:cs="Times New Roman"/>
          <w:color w:val="000000" w:themeColor="text1"/>
          <w:sz w:val="22"/>
          <w:szCs w:val="22"/>
          <w:u w:val="single"/>
        </w:rPr>
        <w:t>Short-Term Rental</w:t>
      </w:r>
    </w:p>
    <w:p w14:paraId="6919AAF7" w14:textId="6D67CBCF" w:rsidR="78BE81FD" w:rsidRDefault="78BE81FD" w:rsidP="78BE81FD">
      <w:pPr>
        <w:rPr>
          <w:rFonts w:ascii="Times New Roman" w:eastAsia="Times New Roman" w:hAnsi="Times New Roman" w:cs="Times New Roman"/>
          <w:color w:val="000000" w:themeColor="text1"/>
          <w:sz w:val="22"/>
          <w:szCs w:val="22"/>
        </w:rPr>
      </w:pPr>
    </w:p>
    <w:p w14:paraId="36BF15F9" w14:textId="4BF6AF0C" w:rsidR="2DB179CE" w:rsidRDefault="2DB179CE" w:rsidP="78BE81FD">
      <w:pPr>
        <w:pStyle w:val="ListParagraph"/>
        <w:numPr>
          <w:ilvl w:val="0"/>
          <w:numId w:val="5"/>
        </w:numPr>
        <w:spacing w:before="180"/>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Short-Term Rental uses shall be subject to the following standards:</w:t>
      </w:r>
    </w:p>
    <w:p w14:paraId="340F2FB4" w14:textId="29947E5D" w:rsidR="2DB179CE" w:rsidRDefault="2DB179CE" w:rsidP="78BE81FD">
      <w:pPr>
        <w:pStyle w:val="ListParagraph"/>
        <w:numPr>
          <w:ilvl w:val="1"/>
          <w:numId w:val="5"/>
        </w:numPr>
        <w:spacing w:line="259" w:lineRule="auto"/>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 xml:space="preserve">Separation from </w:t>
      </w:r>
      <w:proofErr w:type="gramStart"/>
      <w:r w:rsidRPr="78BE81FD">
        <w:rPr>
          <w:rFonts w:ascii="Times New Roman" w:eastAsia="Times New Roman" w:hAnsi="Times New Roman" w:cs="Times New Roman"/>
          <w:color w:val="000000" w:themeColor="text1"/>
          <w:sz w:val="22"/>
          <w:szCs w:val="22"/>
          <w:u w:val="single"/>
        </w:rPr>
        <w:t>other</w:t>
      </w:r>
      <w:proofErr w:type="gramEnd"/>
      <w:r w:rsidRPr="78BE81FD">
        <w:rPr>
          <w:rFonts w:ascii="Times New Roman" w:eastAsia="Times New Roman" w:hAnsi="Times New Roman" w:cs="Times New Roman"/>
          <w:color w:val="000000" w:themeColor="text1"/>
          <w:sz w:val="22"/>
          <w:szCs w:val="22"/>
          <w:u w:val="single"/>
        </w:rPr>
        <w:t xml:space="preserve"> Short-Term Rental Uses: </w:t>
      </w:r>
    </w:p>
    <w:p w14:paraId="50561BA0" w14:textId="4C147E99" w:rsidR="2DB179CE" w:rsidRDefault="2DB179CE" w:rsidP="78BE81FD">
      <w:pPr>
        <w:pStyle w:val="ListParagraph"/>
        <w:numPr>
          <w:ilvl w:val="0"/>
          <w:numId w:val="4"/>
        </w:numPr>
        <w:spacing w:line="259" w:lineRule="auto"/>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 xml:space="preserve">No more than two (2) Short-Term Rental uses shall be permitted in buildings of twenty (20) or fewer units; </w:t>
      </w:r>
    </w:p>
    <w:p w14:paraId="1109A825" w14:textId="5E165E94" w:rsidR="2DB179CE" w:rsidRDefault="2DB179CE" w:rsidP="78BE81FD">
      <w:pPr>
        <w:pStyle w:val="ListParagraph"/>
        <w:numPr>
          <w:ilvl w:val="0"/>
          <w:numId w:val="4"/>
        </w:numPr>
        <w:spacing w:line="259" w:lineRule="auto"/>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No more than five (5) Short-Term Rental uses shall be permitted in buildings of over twenty (20) units;</w:t>
      </w:r>
    </w:p>
    <w:p w14:paraId="1639EEAA" w14:textId="54B42ABF" w:rsidR="2DB179CE" w:rsidRDefault="2DB179CE" w:rsidP="78BE81FD">
      <w:pPr>
        <w:pStyle w:val="ListParagraph"/>
        <w:numPr>
          <w:ilvl w:val="1"/>
          <w:numId w:val="5"/>
        </w:numPr>
        <w:spacing w:line="259" w:lineRule="auto"/>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Short-Term Rental units shall be rented for the purpose of the overnight accommodation of the registered guests, and may not be used to host public assemblies, recreational entertainment, or hospitality activities.</w:t>
      </w:r>
    </w:p>
    <w:p w14:paraId="49FDFEA7" w14:textId="08A2305F" w:rsidR="2DB179CE" w:rsidRDefault="2DB179CE" w:rsidP="78BE81FD">
      <w:pPr>
        <w:pStyle w:val="ListParagraph"/>
        <w:numPr>
          <w:ilvl w:val="1"/>
          <w:numId w:val="5"/>
        </w:numPr>
        <w:spacing w:line="259" w:lineRule="auto"/>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A License shall be obtained as provided by Chapter 768.04(B) of the Pittsburgh Code of Ordinances, and operator must maintain the license in good standing to maintain occupancy approval</w:t>
      </w:r>
      <w:r w:rsidRPr="78BE81FD">
        <w:rPr>
          <w:rFonts w:ascii="Times New Roman" w:eastAsia="Times New Roman" w:hAnsi="Times New Roman" w:cs="Times New Roman"/>
          <w:color w:val="000000" w:themeColor="text1"/>
          <w:sz w:val="22"/>
          <w:szCs w:val="22"/>
        </w:rPr>
        <w:t>.</w:t>
      </w:r>
    </w:p>
    <w:p w14:paraId="3575C160" w14:textId="245FE5C5" w:rsidR="2DB179CE" w:rsidRDefault="2DB179CE" w:rsidP="78BE81FD">
      <w:pPr>
        <w:pStyle w:val="ListParagraph"/>
        <w:numPr>
          <w:ilvl w:val="0"/>
          <w:numId w:val="5"/>
        </w:numPr>
        <w:spacing w:line="259" w:lineRule="auto"/>
        <w:rPr>
          <w:rFonts w:ascii="Times New Roman" w:eastAsia="Times New Roman" w:hAnsi="Times New Roman" w:cs="Times New Roman"/>
          <w:color w:val="000000" w:themeColor="text1"/>
          <w:sz w:val="22"/>
          <w:szCs w:val="22"/>
        </w:rPr>
      </w:pPr>
      <w:r w:rsidRPr="6D747127">
        <w:rPr>
          <w:rFonts w:ascii="Times New Roman" w:eastAsia="Times New Roman" w:hAnsi="Times New Roman" w:cs="Times New Roman"/>
          <w:strike/>
          <w:color w:val="000000" w:themeColor="text1"/>
          <w:sz w:val="22"/>
          <w:szCs w:val="22"/>
        </w:rPr>
        <w:t>In districts where Short-Term Rental is permitted by Specia</w:t>
      </w:r>
      <w:r w:rsidR="4613F234" w:rsidRPr="6D747127">
        <w:rPr>
          <w:rFonts w:ascii="Times New Roman" w:eastAsia="Times New Roman" w:hAnsi="Times New Roman" w:cs="Times New Roman"/>
          <w:strike/>
          <w:color w:val="000000" w:themeColor="text1"/>
          <w:sz w:val="22"/>
          <w:szCs w:val="22"/>
        </w:rPr>
        <w:t>l</w:t>
      </w:r>
      <w:r w:rsidRPr="6D747127">
        <w:rPr>
          <w:rFonts w:ascii="Times New Roman" w:eastAsia="Times New Roman" w:hAnsi="Times New Roman" w:cs="Times New Roman"/>
          <w:strike/>
          <w:color w:val="000000" w:themeColor="text1"/>
          <w:sz w:val="22"/>
          <w:szCs w:val="22"/>
        </w:rPr>
        <w:t xml:space="preserve"> Exception, Short-Term Rental uses shall be subject to the following additional standards</w:t>
      </w:r>
      <w:r w:rsidR="63DCD2B2" w:rsidRPr="6D747127">
        <w:rPr>
          <w:rFonts w:ascii="Times New Roman" w:eastAsia="Times New Roman" w:hAnsi="Times New Roman" w:cs="Times New Roman"/>
          <w:b/>
          <w:bCs/>
          <w:color w:val="000000" w:themeColor="text1"/>
          <w:sz w:val="22"/>
          <w:szCs w:val="22"/>
        </w:rPr>
        <w:t xml:space="preserve"> </w:t>
      </w:r>
      <w:r w:rsidR="63DCD2B2" w:rsidRPr="6D747127">
        <w:rPr>
          <w:rFonts w:ascii="Times New Roman" w:eastAsia="Times New Roman" w:hAnsi="Times New Roman" w:cs="Times New Roman"/>
          <w:b/>
          <w:bCs/>
          <w:color w:val="000000" w:themeColor="text1"/>
          <w:sz w:val="22"/>
          <w:szCs w:val="22"/>
          <w:u w:val="single"/>
        </w:rPr>
        <w:t>Short-Term Rental</w:t>
      </w:r>
      <w:r w:rsidR="3E2CA8A7" w:rsidRPr="6D747127">
        <w:rPr>
          <w:rFonts w:ascii="Times New Roman" w:eastAsia="Times New Roman" w:hAnsi="Times New Roman" w:cs="Times New Roman"/>
          <w:b/>
          <w:bCs/>
          <w:color w:val="000000" w:themeColor="text1"/>
          <w:sz w:val="22"/>
          <w:szCs w:val="22"/>
          <w:u w:val="single"/>
        </w:rPr>
        <w:t xml:space="preserve"> uses</w:t>
      </w:r>
      <w:r w:rsidR="63DCD2B2" w:rsidRPr="6D747127">
        <w:rPr>
          <w:rFonts w:ascii="Times New Roman" w:eastAsia="Times New Roman" w:hAnsi="Times New Roman" w:cs="Times New Roman"/>
          <w:b/>
          <w:bCs/>
          <w:color w:val="000000" w:themeColor="text1"/>
          <w:sz w:val="22"/>
          <w:szCs w:val="22"/>
          <w:u w:val="single"/>
        </w:rPr>
        <w:t xml:space="preserve"> shall be subject to the following standards in </w:t>
      </w:r>
      <w:r w:rsidR="5B314D2D" w:rsidRPr="6D747127">
        <w:rPr>
          <w:rFonts w:ascii="Times New Roman" w:eastAsia="Times New Roman" w:hAnsi="Times New Roman" w:cs="Times New Roman"/>
          <w:b/>
          <w:bCs/>
          <w:color w:val="000000" w:themeColor="text1"/>
          <w:sz w:val="22"/>
          <w:szCs w:val="22"/>
          <w:u w:val="single"/>
        </w:rPr>
        <w:t>R1D, R1A, R2, and R3</w:t>
      </w:r>
      <w:r w:rsidR="63DCD2B2" w:rsidRPr="6D747127">
        <w:rPr>
          <w:rFonts w:ascii="Times New Roman" w:eastAsia="Times New Roman" w:hAnsi="Times New Roman" w:cs="Times New Roman"/>
          <w:b/>
          <w:bCs/>
          <w:color w:val="000000" w:themeColor="text1"/>
          <w:sz w:val="22"/>
          <w:szCs w:val="22"/>
          <w:u w:val="single"/>
        </w:rPr>
        <w:t xml:space="preserve"> zoning districts</w:t>
      </w:r>
      <w:r w:rsidRPr="6D747127">
        <w:rPr>
          <w:rFonts w:ascii="Times New Roman" w:eastAsia="Times New Roman" w:hAnsi="Times New Roman" w:cs="Times New Roman"/>
          <w:color w:val="000000" w:themeColor="text1"/>
          <w:sz w:val="22"/>
          <w:szCs w:val="22"/>
          <w:u w:val="single"/>
        </w:rPr>
        <w:t>:</w:t>
      </w:r>
    </w:p>
    <w:p w14:paraId="55096771" w14:textId="1E724615" w:rsidR="2DB179CE" w:rsidRDefault="2DB179CE" w:rsidP="78BE81FD">
      <w:pPr>
        <w:pStyle w:val="ListParagraph"/>
        <w:numPr>
          <w:ilvl w:val="0"/>
          <w:numId w:val="2"/>
        </w:num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 xml:space="preserve"> A single lot may contain only one (1) Short Term Rental.</w:t>
      </w:r>
    </w:p>
    <w:p w14:paraId="1AA3C486" w14:textId="05ADDD05" w:rsidR="2DB179CE" w:rsidRDefault="2DB179CE" w:rsidP="78BE81FD">
      <w:pPr>
        <w:pStyle w:val="ListParagraph"/>
        <w:numPr>
          <w:ilvl w:val="0"/>
          <w:numId w:val="2"/>
        </w:num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The Approving Body shall determine that the Short-Term Rental use will not create detrimental impacts on the surrounding properties, taking into consideration the physical relationship of the proposed use and structure to the surrounding uses and structures and the probable hours of operation.</w:t>
      </w:r>
    </w:p>
    <w:p w14:paraId="5C41285D" w14:textId="00E9DE22" w:rsidR="78BE81FD" w:rsidRDefault="78BE81FD" w:rsidP="78BE81FD">
      <w:pPr>
        <w:spacing w:before="240"/>
        <w:rPr>
          <w:rFonts w:ascii="Times New Roman" w:eastAsia="Times New Roman" w:hAnsi="Times New Roman" w:cs="Times New Roman"/>
          <w:color w:val="000000" w:themeColor="text1"/>
          <w:sz w:val="22"/>
          <w:szCs w:val="22"/>
        </w:rPr>
      </w:pPr>
    </w:p>
    <w:p w14:paraId="1C22D3A6" w14:textId="42942316" w:rsidR="2DB179CE" w:rsidRDefault="2DB179CE" w:rsidP="78BE81FD">
      <w:pPr>
        <w:rPr>
          <w:rFonts w:ascii="Times New Roman" w:eastAsia="Times New Roman" w:hAnsi="Times New Roman" w:cs="Times New Roman"/>
          <w:b/>
          <w:bCs/>
          <w:color w:val="000000" w:themeColor="text1"/>
        </w:rPr>
      </w:pPr>
      <w:r w:rsidRPr="19E76A28">
        <w:rPr>
          <w:b/>
          <w:bCs/>
        </w:rPr>
        <w:t>Section 3.</w:t>
      </w:r>
      <w:r w:rsidR="74D66EA4" w:rsidRPr="19E76A28">
        <w:rPr>
          <w:b/>
          <w:bCs/>
        </w:rPr>
        <w:t xml:space="preserve"> </w:t>
      </w:r>
      <w:r w:rsidRPr="19E76A28">
        <w:rPr>
          <w:b/>
          <w:bCs/>
        </w:rPr>
        <w:t>The Pittsburgh Code, Title Nine: Zoning, Article V: Use Regulations, Chapter 912 - Accessory Uses and Structures, is hereby amended to include a new Section 912.09 - Short-Term Rental as follows:</w:t>
      </w:r>
    </w:p>
    <w:p w14:paraId="08905159" w14:textId="65A9E32C" w:rsidR="78BE81FD" w:rsidRDefault="78BE81FD" w:rsidP="78BE81FD">
      <w:pPr>
        <w:spacing w:before="240"/>
        <w:rPr>
          <w:rFonts w:ascii="Times New Roman" w:eastAsia="Times New Roman" w:hAnsi="Times New Roman" w:cs="Times New Roman"/>
          <w:color w:val="000000" w:themeColor="text1"/>
          <w:sz w:val="22"/>
          <w:szCs w:val="22"/>
        </w:rPr>
      </w:pPr>
    </w:p>
    <w:p w14:paraId="322BBB3B" w14:textId="77334408" w:rsidR="2DB179CE" w:rsidRDefault="2DB179CE" w:rsidP="78BE81FD">
      <w:p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912.09 Short-Term Rental (Accessory Use)</w:t>
      </w:r>
    </w:p>
    <w:p w14:paraId="5056B934" w14:textId="502DD726" w:rsidR="78BE81FD" w:rsidRDefault="78BE81FD" w:rsidP="78BE81FD">
      <w:pPr>
        <w:rPr>
          <w:rFonts w:ascii="Times New Roman" w:eastAsia="Times New Roman" w:hAnsi="Times New Roman" w:cs="Times New Roman"/>
          <w:color w:val="000000" w:themeColor="text1"/>
          <w:sz w:val="22"/>
          <w:szCs w:val="22"/>
        </w:rPr>
      </w:pPr>
    </w:p>
    <w:p w14:paraId="5A59297B" w14:textId="62D5F597" w:rsidR="2DB179CE" w:rsidRDefault="2DB179CE" w:rsidP="78BE81FD">
      <w:pPr>
        <w:pStyle w:val="ListParagraph"/>
        <w:numPr>
          <w:ilvl w:val="0"/>
          <w:numId w:val="1"/>
        </w:numPr>
        <w:rPr>
          <w:rFonts w:ascii="Times New Roman" w:eastAsia="Times New Roman" w:hAnsi="Times New Roman" w:cs="Times New Roman"/>
          <w:color w:val="000000" w:themeColor="text1"/>
          <w:sz w:val="22"/>
          <w:szCs w:val="22"/>
        </w:rPr>
      </w:pPr>
      <w:r w:rsidRPr="223B2674">
        <w:rPr>
          <w:rFonts w:ascii="Times New Roman" w:eastAsia="Times New Roman" w:hAnsi="Times New Roman" w:cs="Times New Roman"/>
          <w:color w:val="000000" w:themeColor="text1"/>
          <w:sz w:val="22"/>
          <w:szCs w:val="22"/>
          <w:u w:val="single"/>
        </w:rPr>
        <w:t xml:space="preserve">Definition: Short-Term Rental (Accessory Use) means rooms within </w:t>
      </w:r>
      <w:r w:rsidR="4F1ACF11" w:rsidRPr="223B2674">
        <w:rPr>
          <w:rFonts w:ascii="Times New Roman" w:eastAsia="Times New Roman" w:hAnsi="Times New Roman" w:cs="Times New Roman"/>
          <w:color w:val="000000" w:themeColor="text1"/>
          <w:sz w:val="22"/>
          <w:szCs w:val="22"/>
          <w:u w:val="single"/>
        </w:rPr>
        <w:t xml:space="preserve">a </w:t>
      </w:r>
      <w:r w:rsidRPr="223B2674">
        <w:rPr>
          <w:rFonts w:ascii="Times New Roman" w:eastAsia="Times New Roman" w:hAnsi="Times New Roman" w:cs="Times New Roman"/>
          <w:color w:val="000000" w:themeColor="text1"/>
          <w:sz w:val="22"/>
          <w:szCs w:val="22"/>
          <w:u w:val="single"/>
        </w:rPr>
        <w:t>dwelling unit or an accessory dwelling unit, in which sleeping accommodations are provided to one or more guests, for a fee, on a nightly or weekly basis;</w:t>
      </w:r>
    </w:p>
    <w:p w14:paraId="5CFA21DA" w14:textId="058AB9CE" w:rsidR="2DB179CE" w:rsidRDefault="2DB179CE" w:rsidP="78BE81FD">
      <w:pPr>
        <w:pStyle w:val="ListParagraph"/>
        <w:numPr>
          <w:ilvl w:val="0"/>
          <w:numId w:val="1"/>
        </w:num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A Short-Term Rental (Accessory Use) shall be subject to the following standards:</w:t>
      </w:r>
    </w:p>
    <w:p w14:paraId="24F2A867" w14:textId="7961E270" w:rsidR="2DB179CE" w:rsidRDefault="2DB179CE" w:rsidP="78BE81FD">
      <w:pPr>
        <w:pStyle w:val="ListParagraph"/>
        <w:numPr>
          <w:ilvl w:val="1"/>
          <w:numId w:val="1"/>
        </w:num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lastRenderedPageBreak/>
        <w:t>The Short-Term Rental (Accessory Use) shall be managed by the owner of record, who is also a resident of the property;</w:t>
      </w:r>
    </w:p>
    <w:p w14:paraId="05429FA7" w14:textId="558C8D0D" w:rsidR="2DB179CE" w:rsidRDefault="2DB179CE" w:rsidP="78BE81FD">
      <w:pPr>
        <w:pStyle w:val="ListParagraph"/>
        <w:numPr>
          <w:ilvl w:val="1"/>
          <w:numId w:val="1"/>
        </w:num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Short-Term Rental (Accessory Use) units shall be rented for the purpose of the overnight accommodation of registered guests, and may not be used to host public assemblies, recreational entertainment, or hospitality activities.</w:t>
      </w:r>
    </w:p>
    <w:p w14:paraId="63AC8190" w14:textId="2CFC6811" w:rsidR="2DB179CE" w:rsidRDefault="2DB179CE" w:rsidP="78BE81FD">
      <w:pPr>
        <w:pStyle w:val="ListParagraph"/>
        <w:numPr>
          <w:ilvl w:val="1"/>
          <w:numId w:val="1"/>
        </w:numPr>
        <w:rPr>
          <w:rFonts w:ascii="Times New Roman" w:eastAsia="Times New Roman" w:hAnsi="Times New Roman" w:cs="Times New Roman"/>
          <w:color w:val="000000" w:themeColor="text1"/>
          <w:sz w:val="22"/>
          <w:szCs w:val="22"/>
        </w:rPr>
      </w:pPr>
      <w:r w:rsidRPr="78BE81FD">
        <w:rPr>
          <w:rFonts w:ascii="Times New Roman" w:eastAsia="Times New Roman" w:hAnsi="Times New Roman" w:cs="Times New Roman"/>
          <w:color w:val="000000" w:themeColor="text1"/>
          <w:sz w:val="22"/>
          <w:szCs w:val="22"/>
          <w:u w:val="single"/>
        </w:rPr>
        <w:t>A License shall be obtained as provided by Chapter 768.04(B) of the Pittsburgh Code of Ordinances,</w:t>
      </w:r>
      <w:r w:rsidRPr="78BE81FD">
        <w:rPr>
          <w:rFonts w:ascii="Times New Roman" w:eastAsia="Times New Roman" w:hAnsi="Times New Roman" w:cs="Times New Roman"/>
          <w:color w:val="000000" w:themeColor="text1"/>
          <w:sz w:val="22"/>
          <w:szCs w:val="22"/>
        </w:rPr>
        <w:t xml:space="preserve"> </w:t>
      </w:r>
      <w:r w:rsidRPr="78BE81FD">
        <w:rPr>
          <w:rFonts w:ascii="Times New Roman" w:eastAsia="Times New Roman" w:hAnsi="Times New Roman" w:cs="Times New Roman"/>
          <w:color w:val="000000" w:themeColor="text1"/>
          <w:sz w:val="22"/>
          <w:szCs w:val="22"/>
          <w:u w:val="single"/>
        </w:rPr>
        <w:t>and operator must maintain the license in good standing to maintain occupancy approval.</w:t>
      </w:r>
    </w:p>
    <w:p w14:paraId="5F5185AC" w14:textId="382479E5" w:rsidR="2DB179CE" w:rsidRDefault="2DB179CE" w:rsidP="78BE81FD">
      <w:pPr>
        <w:pStyle w:val="ListParagraph"/>
        <w:numPr>
          <w:ilvl w:val="1"/>
          <w:numId w:val="1"/>
        </w:numPr>
        <w:rPr>
          <w:rFonts w:ascii="Times New Roman" w:eastAsia="Times New Roman" w:hAnsi="Times New Roman" w:cs="Times New Roman"/>
          <w:color w:val="000000" w:themeColor="text1"/>
          <w:sz w:val="22"/>
          <w:szCs w:val="22"/>
        </w:rPr>
      </w:pPr>
      <w:r w:rsidRPr="4EF2DD33">
        <w:rPr>
          <w:rFonts w:ascii="Times New Roman" w:eastAsia="Times New Roman" w:hAnsi="Times New Roman" w:cs="Times New Roman"/>
          <w:color w:val="000000" w:themeColor="text1"/>
          <w:sz w:val="22"/>
          <w:szCs w:val="22"/>
          <w:u w:val="single"/>
        </w:rPr>
        <w:t xml:space="preserve">No more than one (1) Short-Term Rental (Accessory Use) unit shall be permitted </w:t>
      </w:r>
      <w:r w:rsidR="065BC739" w:rsidRPr="4EF2DD33">
        <w:rPr>
          <w:rFonts w:ascii="Times New Roman" w:eastAsia="Times New Roman" w:hAnsi="Times New Roman" w:cs="Times New Roman"/>
          <w:color w:val="000000" w:themeColor="text1"/>
          <w:sz w:val="22"/>
          <w:szCs w:val="22"/>
          <w:u w:val="single"/>
        </w:rPr>
        <w:t>on a single zoning lot</w:t>
      </w:r>
      <w:r w:rsidRPr="4EF2DD33">
        <w:rPr>
          <w:rFonts w:ascii="Times New Roman" w:eastAsia="Times New Roman" w:hAnsi="Times New Roman" w:cs="Times New Roman"/>
          <w:color w:val="000000" w:themeColor="text1"/>
          <w:sz w:val="22"/>
          <w:szCs w:val="22"/>
          <w:u w:val="single"/>
        </w:rPr>
        <w:t>.</w:t>
      </w:r>
    </w:p>
    <w:p w14:paraId="7584B44B" w14:textId="3E21090A" w:rsidR="78BE81FD" w:rsidRDefault="78BE81FD"/>
    <w:sectPr w:rsidR="78BE81FD" w:rsidSect="0025683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pearing, Samuel" w:date="1900-01-01T00:00:00Z" w:initials="SS">
    <w:p w14:paraId="7385C653" w14:textId="1D3BEDC4" w:rsidR="53344CF4" w:rsidRDefault="007C55A2">
      <w:pPr>
        <w:pStyle w:val="CommentText"/>
      </w:pPr>
      <w:r>
        <w:rPr>
          <w:rStyle w:val="CommentReference"/>
        </w:rPr>
        <w:annotationRef/>
      </w:r>
      <w:r w:rsidRPr="333B8C65">
        <w:t>Edit out, was left in from original feedback from Planning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85C6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5A44BEB" w16cex:dateUtc="2026-06-04T16: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85C653" w16cid:durableId="55A44BE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BD25"/>
    <w:multiLevelType w:val="hybridMultilevel"/>
    <w:tmpl w:val="DDFEF810"/>
    <w:lvl w:ilvl="0" w:tplc="399ED36C">
      <w:start w:val="1"/>
      <w:numFmt w:val="decimal"/>
      <w:lvlText w:val="%1."/>
      <w:lvlJc w:val="left"/>
      <w:pPr>
        <w:ind w:left="720" w:hanging="360"/>
      </w:pPr>
    </w:lvl>
    <w:lvl w:ilvl="1" w:tplc="875E9B68">
      <w:start w:val="2"/>
      <w:numFmt w:val="decimal"/>
      <w:lvlText w:val="(%2)"/>
      <w:lvlJc w:val="left"/>
      <w:pPr>
        <w:ind w:left="1440" w:hanging="360"/>
      </w:pPr>
    </w:lvl>
    <w:lvl w:ilvl="2" w:tplc="7944B486">
      <w:start w:val="1"/>
      <w:numFmt w:val="lowerRoman"/>
      <w:lvlText w:val="%3."/>
      <w:lvlJc w:val="right"/>
      <w:pPr>
        <w:ind w:left="2160" w:hanging="180"/>
      </w:pPr>
    </w:lvl>
    <w:lvl w:ilvl="3" w:tplc="E7C02E14">
      <w:start w:val="1"/>
      <w:numFmt w:val="decimal"/>
      <w:lvlText w:val="%4."/>
      <w:lvlJc w:val="left"/>
      <w:pPr>
        <w:ind w:left="2880" w:hanging="360"/>
      </w:pPr>
    </w:lvl>
    <w:lvl w:ilvl="4" w:tplc="1F5C5918">
      <w:start w:val="1"/>
      <w:numFmt w:val="lowerLetter"/>
      <w:lvlText w:val="%5."/>
      <w:lvlJc w:val="left"/>
      <w:pPr>
        <w:ind w:left="3600" w:hanging="360"/>
      </w:pPr>
    </w:lvl>
    <w:lvl w:ilvl="5" w:tplc="65829118">
      <w:start w:val="1"/>
      <w:numFmt w:val="lowerRoman"/>
      <w:lvlText w:val="%6."/>
      <w:lvlJc w:val="right"/>
      <w:pPr>
        <w:ind w:left="4320" w:hanging="180"/>
      </w:pPr>
    </w:lvl>
    <w:lvl w:ilvl="6" w:tplc="E69EC050">
      <w:start w:val="1"/>
      <w:numFmt w:val="decimal"/>
      <w:lvlText w:val="%7."/>
      <w:lvlJc w:val="left"/>
      <w:pPr>
        <w:ind w:left="5040" w:hanging="360"/>
      </w:pPr>
    </w:lvl>
    <w:lvl w:ilvl="7" w:tplc="51D26976">
      <w:start w:val="1"/>
      <w:numFmt w:val="lowerLetter"/>
      <w:lvlText w:val="%8."/>
      <w:lvlJc w:val="left"/>
      <w:pPr>
        <w:ind w:left="5760" w:hanging="360"/>
      </w:pPr>
    </w:lvl>
    <w:lvl w:ilvl="8" w:tplc="65D29CCA">
      <w:start w:val="1"/>
      <w:numFmt w:val="lowerRoman"/>
      <w:lvlText w:val="%9."/>
      <w:lvlJc w:val="right"/>
      <w:pPr>
        <w:ind w:left="6480" w:hanging="180"/>
      </w:pPr>
    </w:lvl>
  </w:abstractNum>
  <w:abstractNum w:abstractNumId="1" w15:restartNumberingAfterBreak="0">
    <w:nsid w:val="098DCF1F"/>
    <w:multiLevelType w:val="hybridMultilevel"/>
    <w:tmpl w:val="D966D0C0"/>
    <w:lvl w:ilvl="0" w:tplc="0428D74A">
      <w:start w:val="1"/>
      <w:numFmt w:val="upperLetter"/>
      <w:lvlText w:val="%1."/>
      <w:lvlJc w:val="left"/>
      <w:pPr>
        <w:ind w:left="720" w:hanging="360"/>
      </w:pPr>
    </w:lvl>
    <w:lvl w:ilvl="1" w:tplc="B1BCF71A">
      <w:start w:val="1"/>
      <w:numFmt w:val="decimal"/>
      <w:lvlText w:val="(%2)"/>
      <w:lvlJc w:val="left"/>
      <w:pPr>
        <w:ind w:left="1440" w:hanging="360"/>
      </w:pPr>
    </w:lvl>
    <w:lvl w:ilvl="2" w:tplc="45508BF8">
      <w:start w:val="1"/>
      <w:numFmt w:val="lowerRoman"/>
      <w:lvlText w:val="%3."/>
      <w:lvlJc w:val="right"/>
      <w:pPr>
        <w:ind w:left="2160" w:hanging="180"/>
      </w:pPr>
    </w:lvl>
    <w:lvl w:ilvl="3" w:tplc="4F503068">
      <w:start w:val="1"/>
      <w:numFmt w:val="decimal"/>
      <w:lvlText w:val="%4."/>
      <w:lvlJc w:val="left"/>
      <w:pPr>
        <w:ind w:left="2880" w:hanging="360"/>
      </w:pPr>
    </w:lvl>
    <w:lvl w:ilvl="4" w:tplc="5394E6A2">
      <w:start w:val="1"/>
      <w:numFmt w:val="lowerLetter"/>
      <w:lvlText w:val="%5."/>
      <w:lvlJc w:val="left"/>
      <w:pPr>
        <w:ind w:left="3600" w:hanging="360"/>
      </w:pPr>
    </w:lvl>
    <w:lvl w:ilvl="5" w:tplc="7C786574">
      <w:start w:val="1"/>
      <w:numFmt w:val="lowerRoman"/>
      <w:lvlText w:val="%6."/>
      <w:lvlJc w:val="right"/>
      <w:pPr>
        <w:ind w:left="4320" w:hanging="180"/>
      </w:pPr>
    </w:lvl>
    <w:lvl w:ilvl="6" w:tplc="79BA7886">
      <w:start w:val="1"/>
      <w:numFmt w:val="decimal"/>
      <w:lvlText w:val="%7."/>
      <w:lvlJc w:val="left"/>
      <w:pPr>
        <w:ind w:left="5040" w:hanging="360"/>
      </w:pPr>
    </w:lvl>
    <w:lvl w:ilvl="7" w:tplc="1B888296">
      <w:start w:val="1"/>
      <w:numFmt w:val="lowerLetter"/>
      <w:lvlText w:val="%8."/>
      <w:lvlJc w:val="left"/>
      <w:pPr>
        <w:ind w:left="5760" w:hanging="360"/>
      </w:pPr>
    </w:lvl>
    <w:lvl w:ilvl="8" w:tplc="48A8EC88">
      <w:start w:val="1"/>
      <w:numFmt w:val="lowerRoman"/>
      <w:lvlText w:val="%9."/>
      <w:lvlJc w:val="right"/>
      <w:pPr>
        <w:ind w:left="6480" w:hanging="180"/>
      </w:pPr>
    </w:lvl>
  </w:abstractNum>
  <w:abstractNum w:abstractNumId="2" w15:restartNumberingAfterBreak="0">
    <w:nsid w:val="1FEF3BEA"/>
    <w:multiLevelType w:val="hybridMultilevel"/>
    <w:tmpl w:val="E730B5BE"/>
    <w:lvl w:ilvl="0" w:tplc="D08E779A">
      <w:start w:val="1"/>
      <w:numFmt w:val="lowerLetter"/>
      <w:lvlText w:val="(%1)"/>
      <w:lvlJc w:val="left"/>
      <w:pPr>
        <w:ind w:left="720" w:hanging="360"/>
      </w:pPr>
    </w:lvl>
    <w:lvl w:ilvl="1" w:tplc="C01EC8A6">
      <w:start w:val="1"/>
      <w:numFmt w:val="decimal"/>
      <w:lvlText w:val="(%2)"/>
      <w:lvlJc w:val="left"/>
      <w:pPr>
        <w:ind w:left="1440" w:hanging="360"/>
      </w:pPr>
    </w:lvl>
    <w:lvl w:ilvl="2" w:tplc="432AED08">
      <w:start w:val="1"/>
      <w:numFmt w:val="lowerRoman"/>
      <w:lvlText w:val="%3."/>
      <w:lvlJc w:val="right"/>
      <w:pPr>
        <w:ind w:left="2160" w:hanging="180"/>
      </w:pPr>
    </w:lvl>
    <w:lvl w:ilvl="3" w:tplc="E674728C">
      <w:start w:val="1"/>
      <w:numFmt w:val="decimal"/>
      <w:lvlText w:val="%4."/>
      <w:lvlJc w:val="left"/>
      <w:pPr>
        <w:ind w:left="2880" w:hanging="360"/>
      </w:pPr>
    </w:lvl>
    <w:lvl w:ilvl="4" w:tplc="C338CA86">
      <w:start w:val="1"/>
      <w:numFmt w:val="lowerLetter"/>
      <w:lvlText w:val="%5."/>
      <w:lvlJc w:val="left"/>
      <w:pPr>
        <w:ind w:left="3600" w:hanging="360"/>
      </w:pPr>
    </w:lvl>
    <w:lvl w:ilvl="5" w:tplc="10E6C58A">
      <w:start w:val="1"/>
      <w:numFmt w:val="lowerRoman"/>
      <w:lvlText w:val="%6."/>
      <w:lvlJc w:val="right"/>
      <w:pPr>
        <w:ind w:left="4320" w:hanging="180"/>
      </w:pPr>
    </w:lvl>
    <w:lvl w:ilvl="6" w:tplc="B7A6F9CC">
      <w:start w:val="1"/>
      <w:numFmt w:val="decimal"/>
      <w:lvlText w:val="%7."/>
      <w:lvlJc w:val="left"/>
      <w:pPr>
        <w:ind w:left="5040" w:hanging="360"/>
      </w:pPr>
    </w:lvl>
    <w:lvl w:ilvl="7" w:tplc="C9766370">
      <w:start w:val="1"/>
      <w:numFmt w:val="lowerLetter"/>
      <w:lvlText w:val="%8."/>
      <w:lvlJc w:val="left"/>
      <w:pPr>
        <w:ind w:left="5760" w:hanging="360"/>
      </w:pPr>
    </w:lvl>
    <w:lvl w:ilvl="8" w:tplc="34227A32">
      <w:start w:val="1"/>
      <w:numFmt w:val="lowerRoman"/>
      <w:lvlText w:val="%9."/>
      <w:lvlJc w:val="right"/>
      <w:pPr>
        <w:ind w:left="6480" w:hanging="180"/>
      </w:pPr>
    </w:lvl>
  </w:abstractNum>
  <w:abstractNum w:abstractNumId="3" w15:restartNumberingAfterBreak="0">
    <w:nsid w:val="3B3B76D7"/>
    <w:multiLevelType w:val="hybridMultilevel"/>
    <w:tmpl w:val="A5100368"/>
    <w:lvl w:ilvl="0" w:tplc="154C78AE">
      <w:start w:val="1"/>
      <w:numFmt w:val="decimal"/>
      <w:lvlText w:val="(%1)"/>
      <w:lvlJc w:val="left"/>
      <w:pPr>
        <w:ind w:left="1440" w:hanging="360"/>
      </w:pPr>
    </w:lvl>
    <w:lvl w:ilvl="1" w:tplc="075EFDBC">
      <w:start w:val="1"/>
      <w:numFmt w:val="lowerLetter"/>
      <w:lvlText w:val="%2."/>
      <w:lvlJc w:val="left"/>
      <w:pPr>
        <w:ind w:left="1440" w:hanging="360"/>
      </w:pPr>
    </w:lvl>
    <w:lvl w:ilvl="2" w:tplc="C368057C">
      <w:start w:val="1"/>
      <w:numFmt w:val="lowerRoman"/>
      <w:lvlText w:val="%3."/>
      <w:lvlJc w:val="right"/>
      <w:pPr>
        <w:ind w:left="2160" w:hanging="180"/>
      </w:pPr>
    </w:lvl>
    <w:lvl w:ilvl="3" w:tplc="A6324378">
      <w:start w:val="1"/>
      <w:numFmt w:val="decimal"/>
      <w:lvlText w:val="%4."/>
      <w:lvlJc w:val="left"/>
      <w:pPr>
        <w:ind w:left="2880" w:hanging="360"/>
      </w:pPr>
    </w:lvl>
    <w:lvl w:ilvl="4" w:tplc="A6B27394">
      <w:start w:val="1"/>
      <w:numFmt w:val="lowerLetter"/>
      <w:lvlText w:val="%5."/>
      <w:lvlJc w:val="left"/>
      <w:pPr>
        <w:ind w:left="3600" w:hanging="360"/>
      </w:pPr>
    </w:lvl>
    <w:lvl w:ilvl="5" w:tplc="5420C6C2">
      <w:start w:val="1"/>
      <w:numFmt w:val="lowerRoman"/>
      <w:lvlText w:val="%6."/>
      <w:lvlJc w:val="right"/>
      <w:pPr>
        <w:ind w:left="4320" w:hanging="180"/>
      </w:pPr>
    </w:lvl>
    <w:lvl w:ilvl="6" w:tplc="903A86A8">
      <w:start w:val="1"/>
      <w:numFmt w:val="decimal"/>
      <w:lvlText w:val="%7."/>
      <w:lvlJc w:val="left"/>
      <w:pPr>
        <w:ind w:left="5040" w:hanging="360"/>
      </w:pPr>
    </w:lvl>
    <w:lvl w:ilvl="7" w:tplc="4CDCE63E">
      <w:start w:val="1"/>
      <w:numFmt w:val="lowerLetter"/>
      <w:lvlText w:val="%8."/>
      <w:lvlJc w:val="left"/>
      <w:pPr>
        <w:ind w:left="5760" w:hanging="360"/>
      </w:pPr>
    </w:lvl>
    <w:lvl w:ilvl="8" w:tplc="6E0A0F2E">
      <w:start w:val="1"/>
      <w:numFmt w:val="lowerRoman"/>
      <w:lvlText w:val="%9."/>
      <w:lvlJc w:val="right"/>
      <w:pPr>
        <w:ind w:left="6480" w:hanging="180"/>
      </w:pPr>
    </w:lvl>
  </w:abstractNum>
  <w:abstractNum w:abstractNumId="4" w15:restartNumberingAfterBreak="0">
    <w:nsid w:val="4BA84766"/>
    <w:multiLevelType w:val="hybridMultilevel"/>
    <w:tmpl w:val="70B8D850"/>
    <w:lvl w:ilvl="0" w:tplc="F6E8BCCE">
      <w:start w:val="1"/>
      <w:numFmt w:val="lowerRoman"/>
      <w:lvlText w:val="(%1)"/>
      <w:lvlJc w:val="right"/>
      <w:pPr>
        <w:ind w:left="2160" w:hanging="360"/>
      </w:pPr>
    </w:lvl>
    <w:lvl w:ilvl="1" w:tplc="DA1AA91E">
      <w:start w:val="1"/>
      <w:numFmt w:val="lowerLetter"/>
      <w:lvlText w:val="%2."/>
      <w:lvlJc w:val="left"/>
      <w:pPr>
        <w:ind w:left="1440" w:hanging="360"/>
      </w:pPr>
    </w:lvl>
    <w:lvl w:ilvl="2" w:tplc="5A8E877C">
      <w:start w:val="1"/>
      <w:numFmt w:val="lowerRoman"/>
      <w:lvlText w:val="%3."/>
      <w:lvlJc w:val="right"/>
      <w:pPr>
        <w:ind w:left="2160" w:hanging="180"/>
      </w:pPr>
    </w:lvl>
    <w:lvl w:ilvl="3" w:tplc="3528B800">
      <w:start w:val="1"/>
      <w:numFmt w:val="decimal"/>
      <w:lvlText w:val="%4."/>
      <w:lvlJc w:val="left"/>
      <w:pPr>
        <w:ind w:left="2880" w:hanging="360"/>
      </w:pPr>
    </w:lvl>
    <w:lvl w:ilvl="4" w:tplc="844C00B0">
      <w:start w:val="1"/>
      <w:numFmt w:val="lowerLetter"/>
      <w:lvlText w:val="%5."/>
      <w:lvlJc w:val="left"/>
      <w:pPr>
        <w:ind w:left="3600" w:hanging="360"/>
      </w:pPr>
    </w:lvl>
    <w:lvl w:ilvl="5" w:tplc="B80ADA70">
      <w:start w:val="1"/>
      <w:numFmt w:val="lowerRoman"/>
      <w:lvlText w:val="%6."/>
      <w:lvlJc w:val="right"/>
      <w:pPr>
        <w:ind w:left="4320" w:hanging="180"/>
      </w:pPr>
    </w:lvl>
    <w:lvl w:ilvl="6" w:tplc="859C4C92">
      <w:start w:val="1"/>
      <w:numFmt w:val="decimal"/>
      <w:lvlText w:val="%7."/>
      <w:lvlJc w:val="left"/>
      <w:pPr>
        <w:ind w:left="5040" w:hanging="360"/>
      </w:pPr>
    </w:lvl>
    <w:lvl w:ilvl="7" w:tplc="E9F298DE">
      <w:start w:val="1"/>
      <w:numFmt w:val="lowerLetter"/>
      <w:lvlText w:val="%8."/>
      <w:lvlJc w:val="left"/>
      <w:pPr>
        <w:ind w:left="5760" w:hanging="360"/>
      </w:pPr>
    </w:lvl>
    <w:lvl w:ilvl="8" w:tplc="E3D01E82">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pearing, Samuel">
    <w15:presenceInfo w15:providerId="AD" w15:userId="S::samuel.spearing@pittsburghpa.gov::cd057515-6fc7-45ed-9dee-bea7eb62ca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B83FFF"/>
    <w:rsid w:val="001F10D5"/>
    <w:rsid w:val="00256831"/>
    <w:rsid w:val="00390C96"/>
    <w:rsid w:val="00447634"/>
    <w:rsid w:val="005A773E"/>
    <w:rsid w:val="007C55A2"/>
    <w:rsid w:val="00BA6346"/>
    <w:rsid w:val="05F1DC74"/>
    <w:rsid w:val="065BC739"/>
    <w:rsid w:val="0C271C76"/>
    <w:rsid w:val="0D39A01A"/>
    <w:rsid w:val="0F2A46AE"/>
    <w:rsid w:val="1291584E"/>
    <w:rsid w:val="134FF5E9"/>
    <w:rsid w:val="15FD01FB"/>
    <w:rsid w:val="19E76A28"/>
    <w:rsid w:val="2006E228"/>
    <w:rsid w:val="223B2674"/>
    <w:rsid w:val="2676D5DF"/>
    <w:rsid w:val="28000952"/>
    <w:rsid w:val="2B92C917"/>
    <w:rsid w:val="2DB179CE"/>
    <w:rsid w:val="311FAD1A"/>
    <w:rsid w:val="35B83FFF"/>
    <w:rsid w:val="35FF7F9D"/>
    <w:rsid w:val="36377EBE"/>
    <w:rsid w:val="3E2CA8A7"/>
    <w:rsid w:val="406F0BED"/>
    <w:rsid w:val="408412FF"/>
    <w:rsid w:val="412689E8"/>
    <w:rsid w:val="42BCE094"/>
    <w:rsid w:val="4613F234"/>
    <w:rsid w:val="48361BB1"/>
    <w:rsid w:val="4D8D5888"/>
    <w:rsid w:val="4DC68019"/>
    <w:rsid w:val="4EF2DD33"/>
    <w:rsid w:val="4F1ACF11"/>
    <w:rsid w:val="5214FE10"/>
    <w:rsid w:val="5504D37C"/>
    <w:rsid w:val="5B314D2D"/>
    <w:rsid w:val="5E88B28A"/>
    <w:rsid w:val="613E7B74"/>
    <w:rsid w:val="613FC9E0"/>
    <w:rsid w:val="63DCD2B2"/>
    <w:rsid w:val="6BF2F9C9"/>
    <w:rsid w:val="6D747127"/>
    <w:rsid w:val="6F1DF2EA"/>
    <w:rsid w:val="6F50C407"/>
    <w:rsid w:val="7362F6E3"/>
    <w:rsid w:val="74BFAB54"/>
    <w:rsid w:val="74D66EA4"/>
    <w:rsid w:val="77F64D09"/>
    <w:rsid w:val="78BE81FD"/>
    <w:rsid w:val="7EB44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83FFF"/>
  <w15:chartTrackingRefBased/>
  <w15:docId w15:val="{A5DE025F-8378-4191-B02D-4DC043EBD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8BE8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8BE81FD"/>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A63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576</Words>
  <Characters>3284</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Spearing, Samuel</dc:creator>
  <cp:keywords/>
  <dc:description/>
  <cp:lastModifiedBy>Robinson, Ashley</cp:lastModifiedBy>
  <cp:revision>2</cp:revision>
  <cp:lastPrinted>2026-06-24T14:45:00Z</cp:lastPrinted>
  <dcterms:created xsi:type="dcterms:W3CDTF">2026-06-24T18:37:00Z</dcterms:created>
  <dcterms:modified xsi:type="dcterms:W3CDTF">2026-06-24T18:37:00Z</dcterms:modified>
</cp:coreProperties>
</file>